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829EE" w14:textId="77777777" w:rsidR="00931CA2" w:rsidRDefault="002E4938">
      <w:pPr>
        <w:pStyle w:val="Title"/>
      </w:pPr>
      <w:r>
        <w:t>Shield of Faith — Leadership Discussion Guide</w:t>
      </w:r>
    </w:p>
    <w:p w14:paraId="14E829EF" w14:textId="77777777" w:rsidR="00931CA2" w:rsidRDefault="002E4938">
      <w:pPr>
        <w:pStyle w:val="Subtitle"/>
      </w:pPr>
      <w:r>
        <w:t>A Companion Guide for Church Leadership</w:t>
      </w:r>
    </w:p>
    <w:sdt>
      <w:sdtPr>
        <w:rPr>
          <w:rFonts w:cs="FreeSans"/>
          <w:b w:val="0"/>
          <w:bCs w:val="0"/>
          <w:i w:val="0"/>
          <w:iCs w:val="0"/>
          <w:sz w:val="24"/>
          <w:szCs w:val="24"/>
        </w:rPr>
        <w:id w:val="-1063320176"/>
        <w:docPartObj>
          <w:docPartGallery w:val="Table of Contents"/>
          <w:docPartUnique/>
        </w:docPartObj>
      </w:sdtPr>
      <w:sdtEndPr/>
      <w:sdtContent>
        <w:p w14:paraId="14E829F0" w14:textId="77777777" w:rsidR="00931CA2" w:rsidRDefault="002E4938">
          <w:pPr>
            <w:pStyle w:val="TOCHeading"/>
          </w:pPr>
          <w:r>
            <w:t>Table of Contents</w:t>
          </w:r>
        </w:p>
        <w:p w14:paraId="14E829F1" w14:textId="77777777" w:rsidR="00931CA2" w:rsidRDefault="002E4938">
          <w:pPr>
            <w:pStyle w:val="TOC1"/>
            <w:tabs>
              <w:tab w:val="clear" w:pos="9360"/>
              <w:tab w:val="right" w:leader="dot" w:pos="9359"/>
            </w:tabs>
          </w:pPr>
          <w:r>
            <w:fldChar w:fldCharType="begin"/>
          </w:r>
          <w:r>
            <w:rPr>
              <w:rStyle w:val="IndexLink"/>
              <w:webHidden/>
            </w:rPr>
            <w:instrText xml:space="preserve"> TOC \z \o "1-3" \u \h</w:instrText>
          </w:r>
          <w:r>
            <w:rPr>
              <w:rStyle w:val="IndexLink"/>
            </w:rPr>
            <w:fldChar w:fldCharType="separate"/>
          </w:r>
          <w:hyperlink w:anchor="__RefHeading___Toc1846_2729739456">
            <w:r>
              <w:rPr>
                <w:rStyle w:val="IndexLink"/>
                <w:webHidden/>
              </w:rPr>
              <w:t>Executive Summary</w:t>
            </w:r>
            <w:r>
              <w:rPr>
                <w:rStyle w:val="IndexLink"/>
                <w:webHidden/>
              </w:rPr>
              <w:tab/>
              <w:t>2</w:t>
            </w:r>
          </w:hyperlink>
        </w:p>
        <w:p w14:paraId="14E829F2" w14:textId="77777777" w:rsidR="00931CA2" w:rsidRDefault="002E4938">
          <w:pPr>
            <w:pStyle w:val="TOC1"/>
            <w:tabs>
              <w:tab w:val="clear" w:pos="9360"/>
              <w:tab w:val="right" w:leader="dot" w:pos="9359"/>
            </w:tabs>
          </w:pPr>
          <w:hyperlink w:anchor="__RefHeading___Toc1848_2729739456">
            <w:r>
              <w:rPr>
                <w:rStyle w:val="IndexLink"/>
                <w:webHidden/>
              </w:rPr>
              <w:t>Purpose of This Meeting</w:t>
            </w:r>
            <w:r>
              <w:rPr>
                <w:rStyle w:val="IndexLink"/>
                <w:webHidden/>
              </w:rPr>
              <w:tab/>
              <w:t>2</w:t>
            </w:r>
          </w:hyperlink>
        </w:p>
        <w:p w14:paraId="14E829F3" w14:textId="77777777" w:rsidR="00931CA2" w:rsidRDefault="002E4938">
          <w:pPr>
            <w:pStyle w:val="TOC2"/>
            <w:tabs>
              <w:tab w:val="clear" w:pos="9077"/>
              <w:tab w:val="right" w:leader="dot" w:pos="9359"/>
            </w:tabs>
          </w:pPr>
          <w:hyperlink w:anchor="__RefHeading___Toc1850_2729739456">
            <w:r>
              <w:rPr>
                <w:rStyle w:val="IndexLink"/>
                <w:webHidden/>
              </w:rPr>
              <w:t>How to Structure the Session</w:t>
            </w:r>
            <w:r>
              <w:rPr>
                <w:rStyle w:val="IndexLink"/>
                <w:webHidden/>
              </w:rPr>
              <w:tab/>
              <w:t>3</w:t>
            </w:r>
          </w:hyperlink>
        </w:p>
        <w:p w14:paraId="14E829F4" w14:textId="77777777" w:rsidR="00931CA2" w:rsidRDefault="002E4938">
          <w:pPr>
            <w:pStyle w:val="TOC1"/>
            <w:tabs>
              <w:tab w:val="clear" w:pos="9360"/>
              <w:tab w:val="right" w:leader="dot" w:pos="9359"/>
            </w:tabs>
          </w:pPr>
          <w:hyperlink w:anchor="__RefHeading___Toc1852_2729739456">
            <w:r>
              <w:rPr>
                <w:rStyle w:val="IndexLink"/>
                <w:webHidden/>
              </w:rPr>
              <w:t>Key Theological Takeaways (Read Aloud or Distribute Before Discussion)</w:t>
            </w:r>
            <w:r>
              <w:rPr>
                <w:rStyle w:val="IndexLink"/>
                <w:webHidden/>
              </w:rPr>
              <w:tab/>
              <w:t>3</w:t>
            </w:r>
          </w:hyperlink>
        </w:p>
        <w:p w14:paraId="14E829F5" w14:textId="77777777" w:rsidR="00931CA2" w:rsidRDefault="002E4938">
          <w:pPr>
            <w:pStyle w:val="TOC2"/>
            <w:tabs>
              <w:tab w:val="clear" w:pos="9077"/>
              <w:tab w:val="right" w:leader="dot" w:pos="9359"/>
            </w:tabs>
          </w:pPr>
          <w:hyperlink w:anchor="__RefHeading___Toc1854_2729739456">
            <w:r>
              <w:rPr>
                <w:rStyle w:val="IndexLink"/>
                <w:webHidden/>
              </w:rPr>
              <w:t>The Ten Takeaways</w:t>
            </w:r>
            <w:r>
              <w:rPr>
                <w:rStyle w:val="IndexLink"/>
                <w:webHidden/>
              </w:rPr>
              <w:tab/>
              <w:t>4</w:t>
            </w:r>
          </w:hyperlink>
        </w:p>
        <w:p w14:paraId="14E829F6" w14:textId="77777777" w:rsidR="00931CA2" w:rsidRDefault="002E4938">
          <w:pPr>
            <w:pStyle w:val="TOC2"/>
            <w:tabs>
              <w:tab w:val="clear" w:pos="9077"/>
              <w:tab w:val="right" w:leader="dot" w:pos="9359"/>
            </w:tabs>
          </w:pPr>
          <w:hyperlink w:anchor="__RefHeading___Toc1856_2729739456">
            <w:r>
              <w:rPr>
                <w:rStyle w:val="IndexLink"/>
                <w:webHidden/>
              </w:rPr>
              <w:t>A Correction to State Plainly Before the Discussion Begins</w:t>
            </w:r>
            <w:r>
              <w:rPr>
                <w:rStyle w:val="IndexLink"/>
                <w:webHidden/>
              </w:rPr>
              <w:tab/>
              <w:t>10</w:t>
            </w:r>
          </w:hyperlink>
        </w:p>
        <w:p w14:paraId="14E829F7" w14:textId="77777777" w:rsidR="00931CA2" w:rsidRDefault="002E4938">
          <w:pPr>
            <w:pStyle w:val="TOC1"/>
            <w:tabs>
              <w:tab w:val="clear" w:pos="9360"/>
              <w:tab w:val="right" w:leader="dot" w:pos="9359"/>
            </w:tabs>
          </w:pPr>
          <w:hyperlink w:anchor="__RefHeading___Toc1858_2729739456">
            <w:r>
              <w:rPr>
                <w:rStyle w:val="IndexLink"/>
                <w:webHidden/>
              </w:rPr>
              <w:t>Diagnostic: Where Is Our Congregation Actually At?</w:t>
            </w:r>
            <w:r>
              <w:rPr>
                <w:rStyle w:val="IndexLink"/>
                <w:webHidden/>
              </w:rPr>
              <w:tab/>
              <w:t>11</w:t>
            </w:r>
          </w:hyperlink>
        </w:p>
        <w:p w14:paraId="14E829F8" w14:textId="77777777" w:rsidR="00931CA2" w:rsidRDefault="002E4938">
          <w:pPr>
            <w:pStyle w:val="TOC1"/>
            <w:tabs>
              <w:tab w:val="clear" w:pos="9360"/>
              <w:tab w:val="right" w:leader="dot" w:pos="9359"/>
            </w:tabs>
          </w:pPr>
          <w:hyperlink w:anchor="__RefHeading___Toc1860_2729739456">
            <w:r>
              <w:rPr>
                <w:rStyle w:val="IndexLink"/>
                <w:webHidden/>
              </w:rPr>
              <w:t>Leadership Team Diagnostic: How Well Do We Ourselves Use the Shield of Faith?</w:t>
            </w:r>
            <w:r>
              <w:rPr>
                <w:rStyle w:val="IndexLink"/>
                <w:webHidden/>
              </w:rPr>
              <w:tab/>
              <w:t>12</w:t>
            </w:r>
          </w:hyperlink>
        </w:p>
        <w:p w14:paraId="14E829F9" w14:textId="77777777" w:rsidR="00931CA2" w:rsidRDefault="002E4938">
          <w:pPr>
            <w:pStyle w:val="TOC1"/>
            <w:tabs>
              <w:tab w:val="clear" w:pos="9360"/>
              <w:tab w:val="right" w:leader="dot" w:pos="9359"/>
            </w:tabs>
          </w:pPr>
          <w:hyperlink w:anchor="__RefHeading___Toc1862_2729739456">
            <w:r>
              <w:rPr>
                <w:rStyle w:val="IndexLink"/>
                <w:webHidden/>
              </w:rPr>
              <w:t>Leadership Team Discussion Questions</w:t>
            </w:r>
            <w:r>
              <w:rPr>
                <w:rStyle w:val="IndexLink"/>
                <w:webHidden/>
              </w:rPr>
              <w:tab/>
              <w:t>14</w:t>
            </w:r>
          </w:hyperlink>
        </w:p>
        <w:p w14:paraId="14E829FA" w14:textId="77777777" w:rsidR="00931CA2" w:rsidRDefault="002E4938">
          <w:pPr>
            <w:pStyle w:val="TOC1"/>
            <w:tabs>
              <w:tab w:val="clear" w:pos="9360"/>
              <w:tab w:val="right" w:leader="dot" w:pos="9359"/>
            </w:tabs>
          </w:pPr>
          <w:hyperlink w:anchor="__RefHeading___Toc1864_2729739456">
            <w:r>
              <w:rPr>
                <w:rStyle w:val="IndexLink"/>
                <w:webHidden/>
              </w:rPr>
              <w:t>Strategic Recommendations for Consideration</w:t>
            </w:r>
            <w:r>
              <w:rPr>
                <w:rStyle w:val="IndexLink"/>
                <w:webHidden/>
              </w:rPr>
              <w:tab/>
              <w:t>15</w:t>
            </w:r>
          </w:hyperlink>
        </w:p>
        <w:p w14:paraId="14E829FB" w14:textId="77777777" w:rsidR="00931CA2" w:rsidRDefault="002E4938">
          <w:pPr>
            <w:pStyle w:val="TOC2"/>
            <w:tabs>
              <w:tab w:val="clear" w:pos="9077"/>
              <w:tab w:val="right" w:leader="dot" w:pos="9359"/>
            </w:tabs>
          </w:pPr>
          <w:hyperlink w:anchor="__RefHeading___Toc1866_2729739456">
            <w:r>
              <w:rPr>
                <w:rStyle w:val="IndexLink"/>
                <w:webHidden/>
              </w:rPr>
              <w:t>Teaching, Preaching, and Formal Instruction</w:t>
            </w:r>
            <w:r>
              <w:rPr>
                <w:rStyle w:val="IndexLink"/>
                <w:webHidden/>
              </w:rPr>
              <w:tab/>
              <w:t>15</w:t>
            </w:r>
          </w:hyperlink>
        </w:p>
        <w:p w14:paraId="14E829FC" w14:textId="77777777" w:rsidR="00931CA2" w:rsidRDefault="002E4938">
          <w:pPr>
            <w:pStyle w:val="TOC2"/>
            <w:tabs>
              <w:tab w:val="clear" w:pos="9077"/>
              <w:tab w:val="right" w:leader="dot" w:pos="9359"/>
            </w:tabs>
          </w:pPr>
          <w:hyperlink w:anchor="__RefHeading___Toc1868_2729739456">
            <w:r>
              <w:rPr>
                <w:rStyle w:val="IndexLink"/>
                <w:webHidden/>
              </w:rPr>
              <w:t>Discipleship, Small Groups, and Pastoral Care</w:t>
            </w:r>
            <w:r>
              <w:rPr>
                <w:rStyle w:val="IndexLink"/>
                <w:webHidden/>
              </w:rPr>
              <w:tab/>
              <w:t>15</w:t>
            </w:r>
          </w:hyperlink>
        </w:p>
        <w:p w14:paraId="14E829FD" w14:textId="77777777" w:rsidR="00931CA2" w:rsidRDefault="002E4938">
          <w:pPr>
            <w:pStyle w:val="TOC2"/>
            <w:tabs>
              <w:tab w:val="clear" w:pos="9077"/>
              <w:tab w:val="right" w:leader="dot" w:pos="9359"/>
            </w:tabs>
          </w:pPr>
          <w:hyperlink w:anchor="__RefHeading___Toc1870_2729739456">
            <w:r>
              <w:rPr>
                <w:rStyle w:val="IndexLink"/>
                <w:webHidden/>
              </w:rPr>
              <w:t>Corporate Worship and Congregational Life</w:t>
            </w:r>
            <w:r>
              <w:rPr>
                <w:rStyle w:val="IndexLink"/>
                <w:webHidden/>
              </w:rPr>
              <w:tab/>
              <w:t>16</w:t>
            </w:r>
          </w:hyperlink>
        </w:p>
        <w:p w14:paraId="14E829FE" w14:textId="77777777" w:rsidR="00931CA2" w:rsidRDefault="002E4938">
          <w:pPr>
            <w:pStyle w:val="TOC2"/>
            <w:tabs>
              <w:tab w:val="clear" w:pos="9077"/>
              <w:tab w:val="right" w:leader="dot" w:pos="9359"/>
            </w:tabs>
          </w:pPr>
          <w:hyperlink w:anchor="__RefHeading___Toc1872_2729739456">
            <w:r>
              <w:rPr>
                <w:rStyle w:val="IndexLink"/>
                <w:webHidden/>
              </w:rPr>
              <w:t>Leadership Practice and Follow-Up</w:t>
            </w:r>
            <w:r>
              <w:rPr>
                <w:rStyle w:val="IndexLink"/>
                <w:webHidden/>
              </w:rPr>
              <w:tab/>
              <w:t>16</w:t>
            </w:r>
          </w:hyperlink>
        </w:p>
        <w:p w14:paraId="14E829FF" w14:textId="77777777" w:rsidR="00931CA2" w:rsidRDefault="002E4938">
          <w:pPr>
            <w:pStyle w:val="TOC1"/>
            <w:tabs>
              <w:tab w:val="clear" w:pos="9360"/>
              <w:tab w:val="right" w:leader="dot" w:pos="9359"/>
            </w:tabs>
          </w:pPr>
          <w:hyperlink w:anchor="__RefHeading___Toc1874_2729739456">
            <w:r>
              <w:rPr>
                <w:rStyle w:val="IndexLink"/>
                <w:webHidden/>
              </w:rPr>
              <w:t>Action Plan</w:t>
            </w:r>
            <w:r>
              <w:rPr>
                <w:rStyle w:val="IndexLink"/>
                <w:webHidden/>
              </w:rPr>
              <w:tab/>
              <w:t>16</w:t>
            </w:r>
          </w:hyperlink>
        </w:p>
        <w:p w14:paraId="14E82A00" w14:textId="77777777" w:rsidR="00931CA2" w:rsidRDefault="002E4938">
          <w:pPr>
            <w:pStyle w:val="TOC1"/>
            <w:tabs>
              <w:tab w:val="clear" w:pos="9360"/>
              <w:tab w:val="right" w:leader="dot" w:pos="9359"/>
            </w:tabs>
          </w:pPr>
          <w:hyperlink w:anchor="__RefHeading___Toc1876_2729739456">
            <w:r>
              <w:rPr>
                <w:rStyle w:val="IndexLink"/>
                <w:webHidden/>
              </w:rPr>
              <w:t>Closing Reflection for Leadership</w:t>
            </w:r>
            <w:r>
              <w:rPr>
                <w:rStyle w:val="IndexLink"/>
                <w:webHidden/>
              </w:rPr>
              <w:tab/>
              <w:t>17</w:t>
            </w:r>
          </w:hyperlink>
        </w:p>
        <w:p w14:paraId="14E82A01" w14:textId="77777777" w:rsidR="00931CA2" w:rsidRDefault="002E4938">
          <w:pPr>
            <w:pStyle w:val="TOC1"/>
            <w:tabs>
              <w:tab w:val="clear" w:pos="9360"/>
              <w:tab w:val="right" w:leader="dot" w:pos="9359"/>
            </w:tabs>
          </w:pPr>
          <w:hyperlink w:anchor="__RefHeading___Toc1878_2729739456">
            <w:r>
              <w:rPr>
                <w:rStyle w:val="IndexLink"/>
                <w:webHidden/>
              </w:rPr>
              <w:t>Sources Consulted</w:t>
            </w:r>
            <w:r>
              <w:rPr>
                <w:rStyle w:val="IndexLink"/>
                <w:webHidden/>
              </w:rPr>
              <w:tab/>
              <w:t>18</w:t>
            </w:r>
          </w:hyperlink>
        </w:p>
        <w:p w14:paraId="14E82A02" w14:textId="77777777" w:rsidR="00931CA2" w:rsidRDefault="002E4938">
          <w:pPr>
            <w:pStyle w:val="TOC2"/>
            <w:tabs>
              <w:tab w:val="clear" w:pos="9077"/>
              <w:tab w:val="right" w:leader="dot" w:pos="9359"/>
            </w:tabs>
          </w:pPr>
          <w:hyperlink w:anchor="__RefHeading___Toc1880_2729739456">
            <w:r>
              <w:rPr>
                <w:rStyle w:val="IndexLink"/>
                <w:webHidden/>
              </w:rPr>
              <w:t>Directly Retrieved and Verified This Session</w:t>
            </w:r>
            <w:r>
              <w:rPr>
                <w:rStyle w:val="IndexLink"/>
                <w:webHidden/>
              </w:rPr>
              <w:tab/>
              <w:t>18</w:t>
            </w:r>
          </w:hyperlink>
          <w:r>
            <w:rPr>
              <w:rStyle w:val="IndexLink"/>
            </w:rPr>
            <w:fldChar w:fldCharType="end"/>
          </w:r>
        </w:p>
      </w:sdtContent>
    </w:sdt>
    <w:p w14:paraId="14E82A03" w14:textId="77777777" w:rsidR="00931CA2" w:rsidRDefault="002E4938">
      <w:pPr>
        <w:pStyle w:val="FirstParagraph"/>
      </w:pPr>
      <w:r>
        <w:rPr>
          <w:i/>
          <w:iCs/>
        </w:rPr>
        <w:t>Prepared by James King — Swamp Mennonite Church, Spiritual Battle Series, Leadership Presentation</w:t>
      </w:r>
      <w:r>
        <w:t xml:space="preserve"> </w:t>
      </w:r>
      <w:r>
        <w:rPr>
          <w:i/>
          <w:iCs/>
        </w:rPr>
        <w:t>September 2026</w:t>
      </w:r>
    </w:p>
    <w:p w14:paraId="14E82A04" w14:textId="77777777" w:rsidR="00931CA2" w:rsidRDefault="002E4938">
      <w:r>
        <w:rPr>
          <w:noProof/>
        </w:rPr>
        <mc:AlternateContent>
          <mc:Choice Requires="wps">
            <w:drawing>
              <wp:inline distT="0" distB="0" distL="0" distR="0" wp14:anchorId="14E82AAD" wp14:editId="14E82AAE">
                <wp:extent cx="5943600" cy="19050"/>
                <wp:effectExtent l="0" t="0" r="0" b="0"/>
                <wp:docPr id="1" name="Rectangle 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6618B8C5" id="Rectangle 1"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r>
        <w:br w:type="page"/>
      </w:r>
    </w:p>
    <w:p w14:paraId="14E82A05" w14:textId="77777777" w:rsidR="00931CA2" w:rsidRDefault="002E4938">
      <w:pPr>
        <w:pStyle w:val="Heading1"/>
      </w:pPr>
      <w:bookmarkStart w:id="0" w:name="__RefHeading___Toc1846_2729739456"/>
      <w:bookmarkEnd w:id="0"/>
      <w:r>
        <w:lastRenderedPageBreak/>
        <w:t>Executive Summary</w:t>
      </w:r>
    </w:p>
    <w:p w14:paraId="14E82A06" w14:textId="77777777" w:rsidR="00931CA2" w:rsidRDefault="002E4938">
      <w:pPr>
        <w:pStyle w:val="FirstParagraph"/>
      </w:pPr>
      <w:r>
        <w:t xml:space="preserve">This meeting exists to answer one uncomfortable question honestly: why </w:t>
      </w:r>
      <w:proofErr w:type="gramStart"/>
      <w:r>
        <w:t>does</w:t>
      </w:r>
      <w:proofErr w:type="gramEnd"/>
      <w:r>
        <w:t xml:space="preserve"> Ephesians 6:16 promise something most of our members have never experienced? Paul writes, “above all, taking the shield of faith with which you will be able to quench all the fiery darts of the wicked one” (Ephesians 6:16). He does not say the shield reduces the </w:t>
      </w:r>
      <w:proofErr w:type="gramStart"/>
      <w:r>
        <w:t>darts, or</w:t>
      </w:r>
      <w:proofErr w:type="gramEnd"/>
      <w:r>
        <w:t xml:space="preserve"> works on some of them. He says </w:t>
      </w:r>
      <w:r>
        <w:rPr>
          <w:i/>
          <w:iCs/>
        </w:rPr>
        <w:t>all</w:t>
      </w:r>
      <w:r>
        <w:t xml:space="preserve">, and he says </w:t>
      </w:r>
      <w:r>
        <w:rPr>
          <w:i/>
          <w:iCs/>
        </w:rPr>
        <w:t>quench</w:t>
      </w:r>
      <w:r>
        <w:t xml:space="preserve"> — put the fire out, not merely deflect a still-burning arrow. Set that promise beside what the average member would </w:t>
      </w:r>
      <w:proofErr w:type="gramStart"/>
      <w:r>
        <w:t>actually report</w:t>
      </w:r>
      <w:proofErr w:type="gramEnd"/>
      <w:r>
        <w:t xml:space="preserve"> about life under spiritual pressure, and a gap opens. Naming that gap accurately, and deciding what to do about it, is the purpose of this session.</w:t>
      </w:r>
    </w:p>
    <w:p w14:paraId="14E82A07" w14:textId="77777777" w:rsidR="00931CA2" w:rsidRDefault="002E4938">
      <w:pPr>
        <w:pStyle w:val="BodyText"/>
      </w:pPr>
      <w:r>
        <w:t>The companion deep study argues that the gap is not chiefly one of sincerity or effort but of definition. Most believers have absorbed a working definition of “faith” from somewhere other than Scripture — therapeutic culture, prosperity teaching, vague religious sentiment, or never having been taught at all — and that absorbed definition quietly governs how they live, whether or not it matches the answer they would give in a class. If that is right, exhorting the congregation to “have more faith” will not c</w:t>
      </w:r>
      <w:r>
        <w:t>lose the gap, because the thing being exhorted is not the thing Scripture means.</w:t>
      </w:r>
    </w:p>
    <w:p w14:paraId="14E82A08" w14:textId="77777777" w:rsidR="00931CA2" w:rsidRDefault="002E4938">
      <w:pPr>
        <w:pStyle w:val="BodyText"/>
      </w:pPr>
      <w:r>
        <w:t xml:space="preserve">The meeting moves in five stages. It opens with ten theological takeaways, read aloud or distributed in advance, so the room shares one definition before it diagnoses anything — followed by one correction leadership should be prepared to state plainly. It then turns </w:t>
      </w:r>
      <w:proofErr w:type="gramStart"/>
      <w:r>
        <w:t>to</w:t>
      </w:r>
      <w:proofErr w:type="gramEnd"/>
      <w:r>
        <w:t xml:space="preserve"> a ten-question congregational diagnostic, meant to be genuinely investigated rather than answered from the table. It turns the same scrutiny on leadership with a second ten-question diagnostic, on the principle that a team which has not examined its own practice of faith is poorly positioned to diagnose anyone else’s. It closes with discussion questions, strategic recommendations, an action-plan table, and prayer.</w:t>
      </w:r>
    </w:p>
    <w:p w14:paraId="14E82A09" w14:textId="77777777" w:rsidR="00931CA2" w:rsidRDefault="002E4938">
      <w:pPr>
        <w:pStyle w:val="BodyText"/>
      </w:pPr>
      <w:r>
        <w:t>The practical bottom line is this. Leadership should walk out having decided three things: which of the six distortions named in Part Four of the deep study is most present in this congregation, and on what evidence; which two or three concrete changes to preaching, small groups, worship, or member care will be made, by whom, and by when; and what date the team will return to these questions to see whether anything actually moved. A congregation’s shield is built long before any given attack, by ordinary me</w:t>
      </w:r>
      <w:r>
        <w:t>ans the church already has in hand — Scripture preached and known, prayer, honest testimony, and members who do not fight alone. If those means are thin, no amount of exhortation will thicken it.</w:t>
      </w:r>
    </w:p>
    <w:p w14:paraId="14E82A0A" w14:textId="77777777" w:rsidR="00931CA2" w:rsidRDefault="002E4938">
      <w:bookmarkStart w:id="1" w:name="executive-summary"/>
      <w:r>
        <w:rPr>
          <w:noProof/>
        </w:rPr>
        <mc:AlternateContent>
          <mc:Choice Requires="wps">
            <w:drawing>
              <wp:inline distT="0" distB="0" distL="0" distR="0" wp14:anchorId="14E82AAF" wp14:editId="14E82AB0">
                <wp:extent cx="5943600" cy="19050"/>
                <wp:effectExtent l="0" t="0" r="0" b="0"/>
                <wp:docPr id="3" name="Rectangle 3"/>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41A88284" id="Rectangle 3"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1"/>
    </w:p>
    <w:p w14:paraId="14E82A0B" w14:textId="77777777" w:rsidR="00931CA2" w:rsidRDefault="002E4938">
      <w:pPr>
        <w:pStyle w:val="Heading1"/>
      </w:pPr>
      <w:bookmarkStart w:id="2" w:name="__RefHeading___Toc1848_2729739456"/>
      <w:bookmarkEnd w:id="2"/>
      <w:r>
        <w:t>Purpose of This Meeting</w:t>
      </w:r>
    </w:p>
    <w:p w14:paraId="14E82A0C" w14:textId="77777777" w:rsidR="00931CA2" w:rsidRDefault="002E4938">
      <w:pPr>
        <w:pStyle w:val="FirstParagraph"/>
      </w:pPr>
      <w:r>
        <w:t xml:space="preserve">The goal of this discussion is not to re-teach the doctrine of faith to leadership — it is to honestly assess how well this congregation </w:t>
      </w:r>
      <w:proofErr w:type="gramStart"/>
      <w:r>
        <w:t>actually understands</w:t>
      </w:r>
      <w:proofErr w:type="gramEnd"/>
      <w:r>
        <w:t xml:space="preserve"> and uses the shield of faith in real spiritual conflict, and to decide on specific, concrete steps to close whatever gap the discussion surfaces.</w:t>
      </w:r>
    </w:p>
    <w:p w14:paraId="14E82A0D" w14:textId="77777777" w:rsidR="00931CA2" w:rsidRDefault="002E4938">
      <w:pPr>
        <w:pStyle w:val="Heading2"/>
      </w:pPr>
      <w:bookmarkStart w:id="3" w:name="__RefHeading___Toc1850_2729739456"/>
      <w:bookmarkEnd w:id="3"/>
      <w:r>
        <w:lastRenderedPageBreak/>
        <w:t>How to Structure the Session</w:t>
      </w:r>
    </w:p>
    <w:p w14:paraId="14E82A0E" w14:textId="77777777" w:rsidR="00931CA2" w:rsidRDefault="002E4938">
      <w:pPr>
        <w:pStyle w:val="FirstParagraph"/>
      </w:pPr>
      <w:r>
        <w:t xml:space="preserve">This edition of the guide has been substantially expanded — four separate ten-item lists rather than the shorter original set — so a single </w:t>
      </w:r>
      <w:proofErr w:type="gramStart"/>
      <w:r>
        <w:t>60-90 minute</w:t>
      </w:r>
      <w:proofErr w:type="gramEnd"/>
      <w:r>
        <w:t xml:space="preserve"> meeting is unlikely to cover all of it well. Leadership should plan for either one extended session (roughly two to two-and-a-half hours) or, preferably, two shorter meetings: one focused on diagnosis (the congregational and leadership-team diagnostic questions) and one focused on discussion and strategy (the discussion questions and strategic recommendations).</w:t>
      </w:r>
    </w:p>
    <w:p w14:paraId="14E82A0F" w14:textId="77777777" w:rsidR="00931CA2" w:rsidRDefault="002E4938">
      <w:pPr>
        <w:pStyle w:val="BodyText"/>
      </w:pPr>
      <w:r>
        <w:t xml:space="preserve">Each list below is presented as a complete, unified set of ten. Leadership is free to divide it among smaller groups, assign items to individual leaders for reflection in advance, or work through it together, according to whatever division best fits this </w:t>
      </w:r>
      <w:proofErr w:type="gramStart"/>
      <w:r>
        <w:t>particular team</w:t>
      </w:r>
      <w:proofErr w:type="gramEnd"/>
      <w:r>
        <w:t>. What should not be skipped is the action-plan table near the end. A meeting that produces a shared diagnosis and no owner, no step, and no date has not finished its work.</w:t>
      </w:r>
    </w:p>
    <w:p w14:paraId="14E82A10" w14:textId="77777777" w:rsidR="00931CA2" w:rsidRDefault="002E4938">
      <w:bookmarkStart w:id="4" w:name="purpose-of-this-meeting"/>
      <w:bookmarkStart w:id="5" w:name="how-to-structure-the-session"/>
      <w:r>
        <w:rPr>
          <w:noProof/>
        </w:rPr>
        <mc:AlternateContent>
          <mc:Choice Requires="wps">
            <w:drawing>
              <wp:inline distT="0" distB="0" distL="0" distR="0" wp14:anchorId="14E82AB1" wp14:editId="14E82AB2">
                <wp:extent cx="5943600" cy="19050"/>
                <wp:effectExtent l="0" t="0" r="0" b="0"/>
                <wp:docPr id="5" name="Rectangle 5"/>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0239F2EB" id="Rectangle 5"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4"/>
      <w:bookmarkEnd w:id="5"/>
    </w:p>
    <w:p w14:paraId="14E82A11" w14:textId="77777777" w:rsidR="00931CA2" w:rsidRDefault="002E4938">
      <w:pPr>
        <w:pStyle w:val="Heading1"/>
      </w:pPr>
      <w:bookmarkStart w:id="6" w:name="__RefHeading___Toc1852_2729739456"/>
      <w:bookmarkEnd w:id="6"/>
      <w:r>
        <w:t>Key Theological Takeaways (Read Aloud or Distribute Before Discussion)</w:t>
      </w:r>
    </w:p>
    <w:p w14:paraId="14E82A12" w14:textId="77777777" w:rsidR="00931CA2" w:rsidRDefault="002E4938">
      <w:pPr>
        <w:pStyle w:val="FirstParagraph"/>
      </w:pPr>
      <w:r>
        <w:t>Begin by reading the text under discussion in full: “above all, taking the shield of faith with which you will be able to quench all the fiery darts of the wicked one” (Ephesians 6:16).</w:t>
      </w:r>
      <w:r>
        <w:rPr>
          <w:rStyle w:val="FootnoteReference"/>
        </w:rPr>
        <w:footnoteReference w:id="1"/>
      </w:r>
      <w:r>
        <w:t xml:space="preserve"> Two details in that verse are worth naming before the list. The “fiery darts” are πεπ</w:t>
      </w:r>
      <w:proofErr w:type="spellStart"/>
      <w:r>
        <w:t>υρωμέν</w:t>
      </w:r>
      <w:proofErr w:type="spellEnd"/>
      <w:r>
        <w:t>α β</w:t>
      </w:r>
      <w:proofErr w:type="spellStart"/>
      <w:r>
        <w:t>έλη</w:t>
      </w:r>
      <w:proofErr w:type="spellEnd"/>
      <w:r>
        <w:t xml:space="preserve"> — arrows or missiles modified by a perfect passive participle meaning “having been set on fire.” Albert Barnes describes the ancient weapon concretely: they were “small, slender pieces of cane, which were filled with combustible materials, and set on fire.”</w:t>
      </w:r>
      <w:r>
        <w:rPr>
          <w:rStyle w:val="FootnoteReference"/>
        </w:rPr>
        <w:footnoteReference w:id="2"/>
      </w:r>
      <w:r>
        <w:t xml:space="preserve"> And the verb behind “quench” is σβ</w:t>
      </w:r>
      <w:proofErr w:type="spellStart"/>
      <w:r>
        <w:t>έννυμι</w:t>
      </w:r>
      <w:proofErr w:type="spellEnd"/>
      <w:r>
        <w:t>, which Abbott-Smith glosses, “of fire or things on fire, to quench,” listing Ephesians 6:16 among its occurrences.</w:t>
      </w:r>
      <w:r>
        <w:rPr>
          <w:rStyle w:val="FootnoteReference"/>
        </w:rPr>
        <w:footnoteReference w:id="3"/>
      </w:r>
      <w:r>
        <w:t xml:space="preserve"> The promise is therefore extinction, not deflection. A dart that glances off a shield is still burning; Paul says this shield puts the fire out. That is a stronger claim than most believers realize they have been given, and it is worth saying so from the front.</w:t>
      </w:r>
    </w:p>
    <w:p w14:paraId="14E82A13" w14:textId="77777777" w:rsidR="00931CA2" w:rsidRDefault="002E4938">
      <w:pPr>
        <w:pStyle w:val="BlockText"/>
      </w:pPr>
      <w:r>
        <w:rPr>
          <w:b/>
          <w:bCs/>
        </w:rPr>
        <w:t>Ephesians 6:16 (NKJV):</w:t>
      </w:r>
      <w:r>
        <w:t xml:space="preserve"> “above all, taking the shield of faith with which you will be able to quench all the fiery darts of the wicked one.”</w:t>
      </w:r>
    </w:p>
    <w:p w14:paraId="14E82A14" w14:textId="77777777" w:rsidR="00931CA2" w:rsidRDefault="002E4938" w:rsidP="008B3D7E">
      <w:pPr>
        <w:pStyle w:val="BlockText"/>
        <w:ind w:left="720"/>
      </w:pPr>
      <w:r>
        <w:rPr>
          <w:b/>
          <w:bCs/>
        </w:rPr>
        <w:t>Summary:</w:t>
      </w:r>
      <w:r>
        <w:t xml:space="preserve"> Paul promises the shield of faith will extinguish every fiery dart, not merely deflect it — a stronger, more complete claim than most believers realize has been made to them.</w:t>
      </w:r>
    </w:p>
    <w:p w14:paraId="14E82A15" w14:textId="77777777" w:rsidR="00931CA2" w:rsidRDefault="002E4938">
      <w:pPr>
        <w:pStyle w:val="Heading2"/>
      </w:pPr>
      <w:bookmarkStart w:id="7" w:name="__RefHeading___Toc1854_2729739456"/>
      <w:bookmarkStart w:id="8" w:name="the-ten-takeaways"/>
      <w:bookmarkEnd w:id="7"/>
      <w:r>
        <w:lastRenderedPageBreak/>
        <w:t>The Ten Takeaways</w:t>
      </w:r>
    </w:p>
    <w:p w14:paraId="14E82A16" w14:textId="77777777" w:rsidR="00931CA2" w:rsidRDefault="002E4938">
      <w:pPr>
        <w:pStyle w:val="Compact"/>
        <w:numPr>
          <w:ilvl w:val="0"/>
          <w:numId w:val="12"/>
        </w:numPr>
      </w:pPr>
      <w:r>
        <w:rPr>
          <w:b/>
          <w:bCs/>
        </w:rPr>
        <w:t>Biblical faith is settled reliance on what God has said — not a feeling, and not a technique for producing outcomes.</w:t>
      </w:r>
      <w:r>
        <w:t xml:space="preserve"> “Now faith is the substance of things hoped for, the evidence of things not seen” (Hebrews 11:1). Both nouns matter. “Substance” translates </w:t>
      </w:r>
      <w:r>
        <w:t>ὑ</w:t>
      </w:r>
      <w:r>
        <w:t>π</w:t>
      </w:r>
      <w:proofErr w:type="spellStart"/>
      <w:r>
        <w:t>όστ</w:t>
      </w:r>
      <w:proofErr w:type="spellEnd"/>
      <w:r>
        <w:t xml:space="preserve">ασις, a compound of </w:t>
      </w:r>
      <w:r>
        <w:t>ὑ</w:t>
      </w:r>
      <w:r>
        <w:t xml:space="preserve">πό (“under”) and the root of </w:t>
      </w:r>
      <w:proofErr w:type="spellStart"/>
      <w:r>
        <w:t>ἵ</w:t>
      </w:r>
      <w:r>
        <w:t>στημι</w:t>
      </w:r>
      <w:proofErr w:type="spellEnd"/>
      <w:r>
        <w:t xml:space="preserve"> (“to stand”) — literally “a standing under.” Mounce gives “confidence, trust, being sure,” and, more fully, “pr. a standing under; a taking of a thing upon </w:t>
      </w:r>
      <w:proofErr w:type="gramStart"/>
      <w:r>
        <w:t>one’s self</w:t>
      </w:r>
      <w:proofErr w:type="gramEnd"/>
      <w:r>
        <w:t>… an assured impression, a mental realizing, Heb. 11:1; a substructure, basis.”</w:t>
      </w:r>
      <w:r>
        <w:rPr>
          <w:rStyle w:val="FootnoteReference"/>
        </w:rPr>
        <w:footnoteReference w:id="4"/>
      </w:r>
      <w:r>
        <w:t xml:space="preserve"> “Evidence” translates </w:t>
      </w:r>
      <w:proofErr w:type="spellStart"/>
      <w:r>
        <w:t>ἔ</w:t>
      </w:r>
      <w:r>
        <w:t>λεγχος</w:t>
      </w:r>
      <w:proofErr w:type="spellEnd"/>
      <w:r>
        <w:t>, which Thayer defines as “a proof, that by which a thing is proved or tested,” and, for the inward result, “conviction.”</w:t>
      </w:r>
      <w:r>
        <w:rPr>
          <w:rStyle w:val="FootnoteReference"/>
        </w:rPr>
        <w:footnoteReference w:id="5"/>
      </w:r>
      <w:r>
        <w:t xml:space="preserve"> Faith is the ground a person stands on and the verdict already reached — neither of which is an emotion. Five verses later the writer supplies faith’s content: “But without faith it is impossible to please Him, for he who comes to God must believe that He is, and that He is a rewarder of those who diligently seek Him” (Hebrews 11:6). Faith always believes something specific about someone specific.</w:t>
      </w:r>
    </w:p>
    <w:p w14:paraId="14E82A17" w14:textId="77777777" w:rsidR="00931CA2" w:rsidRDefault="002E4938">
      <w:pPr>
        <w:pStyle w:val="BlockText"/>
      </w:pPr>
      <w:r>
        <w:rPr>
          <w:b/>
          <w:bCs/>
        </w:rPr>
        <w:t>Hebrews 11:1 (NKJV):</w:t>
      </w:r>
      <w:r>
        <w:t xml:space="preserve"> “Now faith is the substance of things hoped for, the evidence of things not seen.”</w:t>
      </w:r>
    </w:p>
    <w:p w14:paraId="14E82A18" w14:textId="77777777" w:rsidR="00931CA2" w:rsidRDefault="002E4938" w:rsidP="008B3D7E">
      <w:pPr>
        <w:pStyle w:val="BlockText"/>
        <w:ind w:left="720"/>
      </w:pPr>
      <w:r>
        <w:rPr>
          <w:b/>
          <w:bCs/>
        </w:rPr>
        <w:t>Summary:</w:t>
      </w:r>
      <w:r>
        <w:t xml:space="preserve"> Faith is defined as a settled ground stood upon and a verdict already reached about what is unseen — not a feeling, but a firm, examined conviction.</w:t>
      </w:r>
    </w:p>
    <w:p w14:paraId="14E82A19" w14:textId="77777777" w:rsidR="00931CA2" w:rsidRDefault="002E4938">
      <w:pPr>
        <w:pStyle w:val="BlockText"/>
      </w:pPr>
      <w:r>
        <w:rPr>
          <w:b/>
          <w:bCs/>
        </w:rPr>
        <w:t>Hebrews 11:6 (NKJV):</w:t>
      </w:r>
      <w:r>
        <w:t xml:space="preserve"> “But without faith it is impossible to please Him, for he who comes to God must believe that He is, and that He is a rewarder of those who diligently seek Him.”</w:t>
      </w:r>
    </w:p>
    <w:p w14:paraId="14E82A1A" w14:textId="77777777" w:rsidR="00931CA2" w:rsidRDefault="002E4938" w:rsidP="008B3D7E">
      <w:pPr>
        <w:pStyle w:val="BlockText"/>
        <w:ind w:left="720"/>
      </w:pPr>
      <w:r>
        <w:rPr>
          <w:b/>
          <w:bCs/>
        </w:rPr>
        <w:t>Summary:</w:t>
      </w:r>
      <w:r>
        <w:t xml:space="preserve"> Faith always has specific content: that God exists and that He rewards those who genuinely seek Him — belief about someone specific, not a vague spiritual disposition.</w:t>
      </w:r>
    </w:p>
    <w:p w14:paraId="14E82A1B" w14:textId="77777777" w:rsidR="00931CA2" w:rsidRDefault="002E4938">
      <w:pPr>
        <w:pStyle w:val="Compact"/>
        <w:numPr>
          <w:ilvl w:val="0"/>
          <w:numId w:val="13"/>
        </w:numPr>
      </w:pPr>
      <w:r>
        <w:rPr>
          <w:b/>
          <w:bCs/>
        </w:rPr>
        <w:t>Faith comes into existence when a message with definite content is announced and heard — so a thin diet of Scripture produces a thin shield, regardless of sincerity or effort.</w:t>
      </w:r>
      <w:r>
        <w:t xml:space="preserve"> Romans 10:17 is usually quoted alone, but it is the conclusion of an argument and cannot be read rightly apart from it: “How then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t>
      </w:r>
      <w:proofErr w:type="gramStart"/>
      <w:r>
        <w:t>Who</w:t>
      </w:r>
      <w:proofErr w:type="gramEnd"/>
      <w:r>
        <w:t xml:space="preserve"> bring glad tidings of good </w:t>
      </w:r>
      <w:r>
        <w:lastRenderedPageBreak/>
        <w:t>things!’ But they have not all obeyed the gospel. For</w:t>
      </w:r>
      <w:r>
        <w:t xml:space="preserve"> Isaiah says, ‘Lord, who has believed our report?’ </w:t>
      </w:r>
      <w:proofErr w:type="gramStart"/>
      <w:r>
        <w:t>So</w:t>
      </w:r>
      <w:proofErr w:type="gramEnd"/>
      <w:r>
        <w:t xml:space="preserve"> then faith comes by hearing, and hearing by the word of God” (Romans 10:14-17). Paul reasons backward from calling to believing to hearing to preaching to sending. Faith is not generated by religious atmosphere, by sincerity, or by a general disposition toward the transcendent; it arises when a specific claim about a specific Christ is stated and received. A believer whose actual intake of Scripture is thin will have a thin shield — not because some spec</w:t>
      </w:r>
      <w:r>
        <w:t xml:space="preserve">ial category of word has been withheld, but because the mechanism Paul names has had almost nothing to work with. </w:t>
      </w:r>
      <w:r>
        <w:rPr>
          <w:b/>
          <w:bCs/>
        </w:rPr>
        <w:t>Note carefully: this point does not rest on the popular contrast between two Greek words for “word.” That contrast is not lexically supported. See the correction immediately following this list.</w:t>
      </w:r>
    </w:p>
    <w:p w14:paraId="14E82A1C" w14:textId="77777777" w:rsidR="00931CA2" w:rsidRDefault="002E4938">
      <w:pPr>
        <w:pStyle w:val="BlockText"/>
      </w:pPr>
      <w:r>
        <w:rPr>
          <w:b/>
          <w:bCs/>
        </w:rPr>
        <w:t>Romans 10:14-17 (NKJV):</w:t>
      </w:r>
      <w:r>
        <w:t xml:space="preserve"> “How then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t>
      </w:r>
      <w:proofErr w:type="gramStart"/>
      <w:r>
        <w:t>Who</w:t>
      </w:r>
      <w:proofErr w:type="gramEnd"/>
      <w:r>
        <w:t xml:space="preserve"> bring glad tidings of good things!’ But they have not all obeyed the gospel. For Isaiah says, ‘Lord, who has believed our report?’ </w:t>
      </w:r>
      <w:proofErr w:type="gramStart"/>
      <w:r>
        <w:t>So</w:t>
      </w:r>
      <w:proofErr w:type="gramEnd"/>
      <w:r>
        <w:t xml:space="preserve"> then faith comes by hearing, and hearing by the word of God.”</w:t>
      </w:r>
    </w:p>
    <w:p w14:paraId="14E82A1D" w14:textId="77777777" w:rsidR="00931CA2" w:rsidRDefault="002E4938" w:rsidP="008B3D7E">
      <w:pPr>
        <w:pStyle w:val="BlockText"/>
        <w:ind w:left="720"/>
      </w:pPr>
      <w:r>
        <w:rPr>
          <w:b/>
          <w:bCs/>
        </w:rPr>
        <w:t>Summary:</w:t>
      </w:r>
      <w:r>
        <w:t xml:space="preserve"> Paul traces faith back through a chain of hearing, preaching, and sending — faith arises from a specific announced message, not from religious atmosphere, sincerity, or general spiritual disposition.</w:t>
      </w:r>
    </w:p>
    <w:p w14:paraId="14E82A1E" w14:textId="77777777" w:rsidR="00931CA2" w:rsidRDefault="002E4938">
      <w:pPr>
        <w:pStyle w:val="Compact"/>
        <w:numPr>
          <w:ilvl w:val="0"/>
          <w:numId w:val="14"/>
        </w:numPr>
      </w:pPr>
      <w:r>
        <w:rPr>
          <w:b/>
          <w:bCs/>
        </w:rPr>
        <w:t>Faith grows through real testing, through prayer, through deliberate remembrance, and through community — not through willpower or emotional intensity alone.</w:t>
      </w:r>
      <w:r>
        <w:t xml:space="preserve"> On testing: “My brethren, count it all joy when you fall into various trials, knowing that the testing of your faith produces patience” (James 1:2-3), and more fully, “In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 (1 Peter 1:6-7). The noun behind “genui</w:t>
      </w:r>
      <w:r>
        <w:t xml:space="preserve">neness” is </w:t>
      </w:r>
      <w:proofErr w:type="spellStart"/>
      <w:r>
        <w:t>δοκίμιον</w:t>
      </w:r>
      <w:proofErr w:type="spellEnd"/>
      <w:r>
        <w:t>, which Abbott-Smith defines as “a test,” and which papyrus evidence indicates also carried the sense of what is genuine — “standard gold.”</w:t>
      </w:r>
      <w:r>
        <w:rPr>
          <w:rStyle w:val="FootnoteReference"/>
        </w:rPr>
        <w:footnoteReference w:id="6"/>
      </w:r>
      <w:r>
        <w:t xml:space="preserve"> On prayer: “Increase our faith” (Luke 17:5) and “Lord, I believe; help my unbelief!” (Mark 9:24). On remembrance: “I will remember the works of the LORD; surely I will remember Your wonders of old” (Psalm 77:11) — a statement of resolve made in a psalm whose first half is unrelieved complaint. On community: “Let us hold fast the confession of our hope without wavering, for He who promised is faithful… not forsaking the assembling of ourselves together… but exhorting one another” (Hebrews 10:23-25).</w:t>
      </w:r>
    </w:p>
    <w:p w14:paraId="14E82A1F" w14:textId="77777777" w:rsidR="00931CA2" w:rsidRDefault="002E4938">
      <w:pPr>
        <w:pStyle w:val="BlockText"/>
      </w:pPr>
      <w:r>
        <w:rPr>
          <w:b/>
          <w:bCs/>
        </w:rPr>
        <w:lastRenderedPageBreak/>
        <w:t>James 1:2-3 (NKJV):</w:t>
      </w:r>
      <w:r>
        <w:t xml:space="preserve"> “My brethren, count it all joy when you fall into various trials, knowing that the testing of your faith produces patience.”</w:t>
      </w:r>
    </w:p>
    <w:p w14:paraId="14E82A20" w14:textId="77777777" w:rsidR="00931CA2" w:rsidRDefault="002E4938" w:rsidP="008B3D7E">
      <w:pPr>
        <w:pStyle w:val="BlockText"/>
        <w:ind w:left="720"/>
      </w:pPr>
      <w:r>
        <w:rPr>
          <w:b/>
          <w:bCs/>
        </w:rPr>
        <w:t>Summary:</w:t>
      </w:r>
      <w:r>
        <w:t xml:space="preserve"> James frames trials themselves as an occasion for joy, because it is specifically the testing of faith — not the trial alone — that produces patience.</w:t>
      </w:r>
    </w:p>
    <w:p w14:paraId="14E82A21" w14:textId="77777777" w:rsidR="00931CA2" w:rsidRDefault="002E4938">
      <w:pPr>
        <w:pStyle w:val="BlockText"/>
      </w:pPr>
      <w:r>
        <w:rPr>
          <w:b/>
          <w:bCs/>
        </w:rPr>
        <w:t>1 Peter 1:6-7 (NKJV):</w:t>
      </w:r>
      <w:r>
        <w:t xml:space="preserve"> “In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w:t>
      </w:r>
    </w:p>
    <w:p w14:paraId="14E82A22" w14:textId="77777777" w:rsidR="00931CA2" w:rsidRDefault="002E4938" w:rsidP="008B3D7E">
      <w:pPr>
        <w:pStyle w:val="BlockText"/>
        <w:ind w:left="720"/>
      </w:pPr>
      <w:r>
        <w:rPr>
          <w:b/>
          <w:bCs/>
        </w:rPr>
        <w:t>Summary:</w:t>
      </w:r>
      <w:r>
        <w:t xml:space="preserve"> Peter compares tested faith to gold refined by fire, more precious than gold itself — genuine rejoicing coexists with real, present grief under trial.</w:t>
      </w:r>
    </w:p>
    <w:p w14:paraId="14E82A23" w14:textId="77777777" w:rsidR="00931CA2" w:rsidRDefault="002E4938">
      <w:pPr>
        <w:pStyle w:val="BlockText"/>
      </w:pPr>
      <w:r>
        <w:rPr>
          <w:b/>
          <w:bCs/>
        </w:rPr>
        <w:t>Luke 17:5 (NKJV):</w:t>
      </w:r>
      <w:r>
        <w:t xml:space="preserve"> “And the apostles said to the Lord, ‘Increase our faith.’”</w:t>
      </w:r>
    </w:p>
    <w:p w14:paraId="14E82A24" w14:textId="77777777" w:rsidR="00931CA2" w:rsidRDefault="002E4938" w:rsidP="008B3D7E">
      <w:pPr>
        <w:pStyle w:val="BlockText"/>
        <w:ind w:left="720"/>
      </w:pPr>
      <w:r>
        <w:rPr>
          <w:b/>
          <w:bCs/>
        </w:rPr>
        <w:t>Summary:</w:t>
      </w:r>
      <w:r>
        <w:t xml:space="preserve"> The apostles themselves, already following Jesus, ask Him directly to increase their faith — treating faith as something grown through prayer, not manufactured by effort alone.</w:t>
      </w:r>
    </w:p>
    <w:p w14:paraId="14E82A25" w14:textId="77777777" w:rsidR="00931CA2" w:rsidRDefault="002E4938">
      <w:pPr>
        <w:pStyle w:val="BlockText"/>
      </w:pPr>
      <w:r>
        <w:rPr>
          <w:b/>
          <w:bCs/>
        </w:rPr>
        <w:t>Mark 9:24 (NKJV):</w:t>
      </w:r>
      <w:r>
        <w:t xml:space="preserve"> “Immediately the father of the child cried out and said with tears, ‘Lord, I believe; help my unbelief!’”</w:t>
      </w:r>
    </w:p>
    <w:p w14:paraId="14E82A26" w14:textId="77777777" w:rsidR="00931CA2" w:rsidRDefault="002E4938" w:rsidP="008B3D7E">
      <w:pPr>
        <w:pStyle w:val="BlockText"/>
        <w:ind w:left="720"/>
      </w:pPr>
      <w:r>
        <w:rPr>
          <w:b/>
          <w:bCs/>
        </w:rPr>
        <w:t>Summary</w:t>
      </w:r>
      <w:r>
        <w:rPr>
          <w:b/>
          <w:bCs/>
        </w:rPr>
        <w:t>:</w:t>
      </w:r>
      <w:r>
        <w:t xml:space="preserve"> A father’s honest prayer holds real faith and real doubt together in the same breath, appealing to Jesus to strengthen what is genuine but still incomplete.</w:t>
      </w:r>
    </w:p>
    <w:p w14:paraId="14E82A27" w14:textId="77777777" w:rsidR="00931CA2" w:rsidRDefault="002E4938">
      <w:pPr>
        <w:pStyle w:val="BlockText"/>
      </w:pPr>
      <w:r>
        <w:rPr>
          <w:b/>
          <w:bCs/>
        </w:rPr>
        <w:t>Psalm 77:11 (NKJV):</w:t>
      </w:r>
      <w:r>
        <w:t xml:space="preserve"> “I will remember the works of the LORD; surely I will remember Your wonders of old.”</w:t>
      </w:r>
    </w:p>
    <w:p w14:paraId="14E82A28" w14:textId="77777777" w:rsidR="00931CA2" w:rsidRDefault="002E4938" w:rsidP="008B3D7E">
      <w:pPr>
        <w:pStyle w:val="BlockText"/>
        <w:ind w:left="720"/>
      </w:pPr>
      <w:r>
        <w:rPr>
          <w:b/>
          <w:bCs/>
        </w:rPr>
        <w:t>Summary</w:t>
      </w:r>
      <w:r>
        <w:rPr>
          <w:b/>
          <w:bCs/>
        </w:rPr>
        <w:t>:</w:t>
      </w:r>
      <w:r>
        <w:t xml:space="preserve"> The psalmist resolves to deliberately recall God’s past works — a discipline of remembrance chosen in the middle of a psalm otherwise filled with complaint.</w:t>
      </w:r>
    </w:p>
    <w:p w14:paraId="14E82A29" w14:textId="77777777" w:rsidR="00931CA2" w:rsidRDefault="002E4938">
      <w:pPr>
        <w:pStyle w:val="BlockText"/>
      </w:pPr>
      <w:r>
        <w:rPr>
          <w:b/>
          <w:bCs/>
        </w:rPr>
        <w:t>Hebrews 10:23-25 (NKJV):</w:t>
      </w:r>
      <w:r>
        <w:t xml:space="preserve"> “Let us hold fast the confession of our hope without wavering, for He who promised is faithful. And let us consider one another </w:t>
      </w:r>
      <w:proofErr w:type="gramStart"/>
      <w:r>
        <w:t>in order to</w:t>
      </w:r>
      <w:proofErr w:type="gramEnd"/>
      <w:r>
        <w:t xml:space="preserve"> stir up love and good works, not forsaking the assembling of ourselves together, as is the manner of some, but exhorting one another, and so much the more as you see the Day approaching.”</w:t>
      </w:r>
    </w:p>
    <w:p w14:paraId="14E82A2A" w14:textId="77777777" w:rsidR="00931CA2" w:rsidRDefault="002E4938" w:rsidP="008B3D7E">
      <w:pPr>
        <w:pStyle w:val="BlockText"/>
        <w:ind w:left="720"/>
      </w:pPr>
      <w:r>
        <w:rPr>
          <w:b/>
          <w:bCs/>
        </w:rPr>
        <w:t>Summary</w:t>
      </w:r>
      <w:r>
        <w:rPr>
          <w:b/>
          <w:bCs/>
        </w:rPr>
        <w:t>:</w:t>
      </w:r>
      <w:r>
        <w:t xml:space="preserve"> The writer ties holding fast to hope directly to not </w:t>
      </w:r>
      <w:proofErr w:type="gramStart"/>
      <w:r>
        <w:t>forsaking</w:t>
      </w:r>
      <w:proofErr w:type="gramEnd"/>
      <w:r>
        <w:t xml:space="preserve"> the gathered assembly — mutual exhortation within community is presented as a means of perseverance, not an optional add-on.</w:t>
      </w:r>
    </w:p>
    <w:p w14:paraId="14E82A2B" w14:textId="77777777" w:rsidR="00931CA2" w:rsidRDefault="002E4938">
      <w:pPr>
        <w:pStyle w:val="Compact"/>
        <w:numPr>
          <w:ilvl w:val="0"/>
          <w:numId w:val="15"/>
        </w:numPr>
      </w:pPr>
      <w:r>
        <w:rPr>
          <w:b/>
          <w:bCs/>
        </w:rPr>
        <w:t>The shield of faith is never faith in one’s own faith. It is always faith in Christ specifically — and it is the same faith by which a believer was first joined to Christ.</w:t>
      </w:r>
      <w:r>
        <w:t xml:space="preserve"> “For you are all sons of God through faith in Christ Jesus. For as many of you as were baptized into Christ have put on Christ” (Galatians 3:26-27). Faith is named as the means of sonship in verse 26; putting on Christ is named in verse 27. The same clothing verb, </w:t>
      </w:r>
      <w:proofErr w:type="spellStart"/>
      <w:r>
        <w:t>ἐ</w:t>
      </w:r>
      <w:r>
        <w:t>νδύω</w:t>
      </w:r>
      <w:proofErr w:type="spellEnd"/>
      <w:r>
        <w:t xml:space="preserve">, returns as an ongoing command: “But put on the Lord Jesus Christ, and make no provision for the flesh, to fulfill its lusts” (Romans </w:t>
      </w:r>
      <w:r>
        <w:lastRenderedPageBreak/>
        <w:t>13:14).</w:t>
      </w:r>
      <w:r>
        <w:rPr>
          <w:rStyle w:val="FootnoteReference"/>
        </w:rPr>
        <w:footnoteReference w:id="7"/>
      </w:r>
      <w:r>
        <w:t xml:space="preserve"> The garment goes on at conversion and goes on again every morning. It follows that growing in faith and growing in specific knowledge of Christ are the same project, not two — a congregation cannot be taught to “have more faith” as a self-improvement exercise detached from knowing Christ better (section 3.3 of the full study).</w:t>
      </w:r>
    </w:p>
    <w:p w14:paraId="14E82A2C" w14:textId="77777777" w:rsidR="00931CA2" w:rsidRDefault="002E4938">
      <w:pPr>
        <w:pStyle w:val="BlockText"/>
      </w:pPr>
      <w:r>
        <w:rPr>
          <w:b/>
          <w:bCs/>
        </w:rPr>
        <w:t>Galatians 3:26-27 (NKJV):</w:t>
      </w:r>
      <w:r>
        <w:t xml:space="preserve"> “For you are all sons of God through faith in Christ Jesus. For as many of you as were baptized into Christ have put on Christ.”</w:t>
      </w:r>
    </w:p>
    <w:p w14:paraId="14E82A2D" w14:textId="77777777" w:rsidR="00931CA2" w:rsidRDefault="002E4938" w:rsidP="008B3D7E">
      <w:pPr>
        <w:pStyle w:val="BlockText"/>
        <w:ind w:left="720"/>
      </w:pPr>
      <w:r>
        <w:rPr>
          <w:b/>
          <w:bCs/>
        </w:rPr>
        <w:t>Summary</w:t>
      </w:r>
      <w:r>
        <w:rPr>
          <w:b/>
          <w:bCs/>
        </w:rPr>
        <w:t>:</w:t>
      </w:r>
      <w:r>
        <w:t xml:space="preserve"> Faith is named as the means of sonship and union with Christ Himself — the shield of faith was never a separate virtue from the faith that first joined a believer to Him.</w:t>
      </w:r>
    </w:p>
    <w:p w14:paraId="14E82A2E" w14:textId="77777777" w:rsidR="00931CA2" w:rsidRDefault="002E4938">
      <w:pPr>
        <w:pStyle w:val="BlockText"/>
      </w:pPr>
      <w:r>
        <w:rPr>
          <w:b/>
          <w:bCs/>
        </w:rPr>
        <w:t>Romans 13:14 (NKJV):</w:t>
      </w:r>
      <w:r>
        <w:t xml:space="preserve"> “But put on the Lord Jesus Christ, and make no provision for the flesh, to fulfill its lusts.”</w:t>
      </w:r>
    </w:p>
    <w:p w14:paraId="14E82A2F" w14:textId="77777777" w:rsidR="00931CA2" w:rsidRDefault="002E4938" w:rsidP="008B3D7E">
      <w:pPr>
        <w:pStyle w:val="BlockText"/>
        <w:ind w:left="720"/>
      </w:pPr>
      <w:r>
        <w:rPr>
          <w:b/>
          <w:bCs/>
        </w:rPr>
        <w:t>Summary</w:t>
      </w:r>
      <w:r>
        <w:rPr>
          <w:b/>
          <w:bCs/>
        </w:rPr>
        <w:t>:</w:t>
      </w:r>
      <w:r>
        <w:t xml:space="preserve"> Paul turns the same “putting on Christ” language of conversion into a daily, ongoing command — ordinary faith and continued growth in Christ are the same project.</w:t>
      </w:r>
    </w:p>
    <w:p w14:paraId="14E82A30" w14:textId="77777777" w:rsidR="00931CA2" w:rsidRDefault="002E4938">
      <w:pPr>
        <w:numPr>
          <w:ilvl w:val="0"/>
          <w:numId w:val="16"/>
        </w:numPr>
      </w:pPr>
      <w:r>
        <w:rPr>
          <w:b/>
          <w:bCs/>
        </w:rPr>
        <w:t>Expect to find distortions coexisting with correct answers on paper.</w:t>
      </w:r>
      <w:r>
        <w:t xml:space="preserve"> The deep study names six (Part Four): faith confused with emotion; faith redefined as a manipulative force, as in prosperity and “word of faith” teaching; faith treated as automatically self-sustaining rather than actively exercised; faith individualized against Ephesians 6’s own plural, corporate grammar; faith starved by low Scripture intake; and a therapeutic framework that never names the battle at all. The second of these is the most actively harmful. John MacArthur, critiquing the movement, quotes on</w:t>
      </w:r>
      <w:r>
        <w:t xml:space="preserve">e of its own teachers stating the logic in its starkest form: “If you have faith, you release God to work. </w:t>
      </w:r>
      <w:proofErr w:type="gramStart"/>
      <w:r>
        <w:t>So</w:t>
      </w:r>
      <w:proofErr w:type="gramEnd"/>
      <w:r>
        <w:t xml:space="preserve"> if you’re afraid of Satan, you’ve bottled God and set Satan loose.”</w:t>
      </w:r>
      <w:r>
        <w:rPr>
          <w:rStyle w:val="FootnoteReference"/>
        </w:rPr>
        <w:footnoteReference w:id="8"/>
      </w:r>
      <w:r>
        <w:t xml:space="preserve"> That inverts Ephesians 6:16 completely, and it is pastorally cruel: when the promised outcome fails to arrive, the only available explanation is that the sufferer did not believe hard enough.</w:t>
      </w:r>
    </w:p>
    <w:p w14:paraId="14E82A31" w14:textId="77777777" w:rsidR="00931CA2" w:rsidRDefault="002E4938">
      <w:pPr>
        <w:numPr>
          <w:ilvl w:val="0"/>
          <w:numId w:val="5"/>
        </w:numPr>
      </w:pPr>
      <w:r>
        <w:rPr>
          <w:b/>
          <w:bCs/>
        </w:rPr>
        <w:t>God Himself — not merely a gift He hands over — is what Scripture first calls a believer’s shield.</w:t>
      </w:r>
      <w:r>
        <w:t xml:space="preserve"> “Do not be afraid, Abram. I am your shield, your exceedingly great reward” (Genesis 15:1). Notice what God does </w:t>
      </w:r>
      <w:r>
        <w:rPr>
          <w:i/>
          <w:iCs/>
        </w:rPr>
        <w:t>not</w:t>
      </w:r>
      <w:r>
        <w:t xml:space="preserve"> say: He does not promise to give Abram a shield. The Hebrew word is </w:t>
      </w:r>
      <w:proofErr w:type="spellStart"/>
      <w:r>
        <w:rPr>
          <w:rtl/>
        </w:rPr>
        <w:t>מָגֵן</w:t>
      </w:r>
      <w:proofErr w:type="spellEnd"/>
      <w:r>
        <w:t>, which Brown-Driver-Briggs defines simply as “shield, buckler.”</w:t>
      </w:r>
      <w:r>
        <w:rPr>
          <w:rStyle w:val="FootnoteReference"/>
        </w:rPr>
        <w:footnoteReference w:id="9"/>
      </w:r>
      <w:r>
        <w:t xml:space="preserve"> The same word threads through Psalm 3:3, Psalm 18:2, 30, 35, and Proverbs 30:5 — “Every word of God is pure; He is a shield to </w:t>
      </w:r>
      <w:r>
        <w:lastRenderedPageBreak/>
        <w:t>those who put their trust in Him” — tying the shield’s actual strength to God’s own reliable character and God’s own words, not to the believer’s technique or intensity of belief.</w:t>
      </w:r>
    </w:p>
    <w:p w14:paraId="14E82A32" w14:textId="77777777" w:rsidR="00931CA2" w:rsidRDefault="002E4938">
      <w:pPr>
        <w:pStyle w:val="BlockText"/>
      </w:pPr>
      <w:r>
        <w:rPr>
          <w:b/>
          <w:bCs/>
        </w:rPr>
        <w:t>Genesis 15:1 (NKJV):</w:t>
      </w:r>
      <w:r>
        <w:t xml:space="preserve"> “After these things the word of the LORD came to Abram in a vision, saying, ‘Do not be afraid, Abram. I am your shield, your exceedingly great reward.’”</w:t>
      </w:r>
    </w:p>
    <w:p w14:paraId="14E82A33" w14:textId="77777777" w:rsidR="00931CA2" w:rsidRDefault="002E4938" w:rsidP="008B3D7E">
      <w:pPr>
        <w:pStyle w:val="BlockText"/>
        <w:ind w:left="720"/>
      </w:pPr>
      <w:r>
        <w:rPr>
          <w:b/>
          <w:bCs/>
        </w:rPr>
        <w:t>Summary</w:t>
      </w:r>
      <w:r>
        <w:rPr>
          <w:b/>
          <w:bCs/>
        </w:rPr>
        <w:t>:</w:t>
      </w:r>
      <w:r>
        <w:t xml:space="preserve"> God names Himself — not a gift He hands over — as Abram’s shield, tying the believer’s protection directly to God’s own person rather than to an object or technique.</w:t>
      </w:r>
    </w:p>
    <w:p w14:paraId="14E82A34" w14:textId="77777777" w:rsidR="00931CA2" w:rsidRDefault="002E4938">
      <w:pPr>
        <w:pStyle w:val="BlockText"/>
      </w:pPr>
      <w:r>
        <w:rPr>
          <w:b/>
          <w:bCs/>
        </w:rPr>
        <w:t>Psalm 3:3 (NKJV):</w:t>
      </w:r>
      <w:r>
        <w:t xml:space="preserve"> “But You, O LORD, are a shield for me, </w:t>
      </w:r>
      <w:proofErr w:type="gramStart"/>
      <w:r>
        <w:t>My</w:t>
      </w:r>
      <w:proofErr w:type="gramEnd"/>
      <w:r>
        <w:t xml:space="preserve"> glory and the One who lifts up my head.”</w:t>
      </w:r>
    </w:p>
    <w:p w14:paraId="14E82A35" w14:textId="77777777" w:rsidR="00931CA2" w:rsidRDefault="002E4938" w:rsidP="008B3D7E">
      <w:pPr>
        <w:pStyle w:val="BlockText"/>
        <w:ind w:left="720"/>
      </w:pPr>
      <w:r>
        <w:rPr>
          <w:b/>
          <w:bCs/>
        </w:rPr>
        <w:t>Summary</w:t>
      </w:r>
      <w:r>
        <w:rPr>
          <w:b/>
          <w:bCs/>
        </w:rPr>
        <w:t>:</w:t>
      </w:r>
      <w:r>
        <w:t xml:space="preserve"> David addresses God directly as his shield, joining that image to God’s glory and to God </w:t>
      </w:r>
      <w:proofErr w:type="gramStart"/>
      <w:r>
        <w:t>lifting up</w:t>
      </w:r>
      <w:proofErr w:type="gramEnd"/>
      <w:r>
        <w:t xml:space="preserve"> a head bowed under attack.</w:t>
      </w:r>
    </w:p>
    <w:p w14:paraId="14E82A36" w14:textId="77777777" w:rsidR="00931CA2" w:rsidRDefault="002E4938">
      <w:pPr>
        <w:pStyle w:val="BlockText"/>
      </w:pPr>
      <w:r>
        <w:rPr>
          <w:b/>
          <w:bCs/>
        </w:rPr>
        <w:t>Psalm 18:2, 30, 35 (NKJV):</w:t>
      </w:r>
      <w:r>
        <w:t xml:space="preserve"> “The LORD is my rock and my fortress and my deliverer; My God, my strength, in whom I will trust; My shield and the horn of my salvation, my stronghold. … As for God, His way is perfect; The word of the LORD is proven; He is a shield to all who trust in Him. … You have also given me the shield of Your salvation; Your right hand has held me up, </w:t>
      </w:r>
      <w:proofErr w:type="gramStart"/>
      <w:r>
        <w:t>Your</w:t>
      </w:r>
      <w:proofErr w:type="gramEnd"/>
      <w:r>
        <w:t xml:space="preserve"> gentleness has made me great.”</w:t>
      </w:r>
    </w:p>
    <w:p w14:paraId="14E82A37" w14:textId="77777777" w:rsidR="00931CA2" w:rsidRDefault="002E4938" w:rsidP="008B3D7E">
      <w:pPr>
        <w:pStyle w:val="BlockText"/>
        <w:ind w:left="720"/>
      </w:pPr>
      <w:r>
        <w:rPr>
          <w:b/>
          <w:bCs/>
        </w:rPr>
        <w:t>Summary</w:t>
      </w:r>
      <w:r>
        <w:rPr>
          <w:b/>
          <w:bCs/>
        </w:rPr>
        <w:t>:</w:t>
      </w:r>
      <w:r>
        <w:t xml:space="preserve"> Across one psalm, David calls God his shield three separate times — tied to God’s proven word, God’s own perfect way, and God’s own strength upholding him, not to any technique of David’s own.</w:t>
      </w:r>
    </w:p>
    <w:p w14:paraId="14E82A38" w14:textId="77777777" w:rsidR="00931CA2" w:rsidRDefault="002E4938">
      <w:pPr>
        <w:pStyle w:val="BlockText"/>
      </w:pPr>
      <w:r>
        <w:rPr>
          <w:b/>
          <w:bCs/>
        </w:rPr>
        <w:t>Proverbs 30:5 (NKJV):</w:t>
      </w:r>
      <w:r>
        <w:t xml:space="preserve"> “Every word of God is pure; He is a shield to those who put their trust in Him.”</w:t>
      </w:r>
    </w:p>
    <w:p w14:paraId="14E82A39" w14:textId="77777777" w:rsidR="00931CA2" w:rsidRDefault="002E4938" w:rsidP="008B3D7E">
      <w:pPr>
        <w:pStyle w:val="BlockText"/>
        <w:ind w:left="720"/>
      </w:pPr>
      <w:r>
        <w:rPr>
          <w:b/>
          <w:bCs/>
        </w:rPr>
        <w:t>Summary</w:t>
      </w:r>
      <w:r>
        <w:rPr>
          <w:b/>
          <w:bCs/>
        </w:rPr>
        <w:t>:</w:t>
      </w:r>
      <w:r>
        <w:t xml:space="preserve"> Agur ties God’s shielding directly to the purity of God’s own word and to trust placed in Him — the same pairing of word and shield this study traces throughout Scripture.</w:t>
      </w:r>
    </w:p>
    <w:p w14:paraId="14E82A3A" w14:textId="77777777" w:rsidR="00931CA2" w:rsidRDefault="002E4938">
      <w:pPr>
        <w:pStyle w:val="Compact"/>
        <w:numPr>
          <w:ilvl w:val="0"/>
          <w:numId w:val="17"/>
        </w:numPr>
      </w:pPr>
      <w:r>
        <w:rPr>
          <w:b/>
          <w:bCs/>
        </w:rPr>
        <w:t>Faith and victory are not two separate things, one producing the other. They are the same reality.</w:t>
      </w:r>
      <w:r>
        <w:t xml:space="preserve"> “For whatever is born of God overcomes the world. And this is the victory that has overcome the world — our faith. Who is he who overcomes the world, but he who believes that Jesus is the Son of God?” (1 John 5:4-5). The noun for “victory” is </w:t>
      </w:r>
      <w:proofErr w:type="spellStart"/>
      <w:r>
        <w:t>νίκη</w:t>
      </w:r>
      <w:proofErr w:type="spellEnd"/>
      <w:r>
        <w:t>, which Abbott-Smith defines simply as “victory,” noting that in the New Testament it occurs only here.</w:t>
      </w:r>
      <w:r>
        <w:rPr>
          <w:rStyle w:val="FootnoteReference"/>
        </w:rPr>
        <w:footnoteReference w:id="10"/>
      </w:r>
      <w:r>
        <w:t xml:space="preserve"> John identifies that victory directly with faith itself. A congregation taught to treat faith as merely a tool for winning something else has subtly misread the text; trusting God is already the win, whatever else does or does not follow. The final clause keeps the object in view: the faith in question is believing “that Jesus is the Son of God,” not believing in general.</w:t>
      </w:r>
    </w:p>
    <w:p w14:paraId="14E82A3B" w14:textId="77777777" w:rsidR="00931CA2" w:rsidRDefault="002E4938">
      <w:pPr>
        <w:pStyle w:val="BlockText"/>
      </w:pPr>
      <w:r>
        <w:rPr>
          <w:b/>
          <w:bCs/>
        </w:rPr>
        <w:lastRenderedPageBreak/>
        <w:t>1 John 5:4-5 (NKJV):</w:t>
      </w:r>
      <w:r>
        <w:t xml:space="preserve"> “For whatever is born of God overcomes the world. And this is the victory that has overcome the world — our faith. Who is he who overcomes the world, but he who believes that Jesus is the Son of God?”</w:t>
      </w:r>
    </w:p>
    <w:p w14:paraId="14E82A3C" w14:textId="7A2E2648" w:rsidR="00931CA2" w:rsidRDefault="002E4938" w:rsidP="008B3D7E">
      <w:pPr>
        <w:pStyle w:val="BlockText"/>
        <w:ind w:left="720"/>
      </w:pPr>
      <w:r>
        <w:rPr>
          <w:b/>
          <w:bCs/>
        </w:rPr>
        <w:t>Summary</w:t>
      </w:r>
      <w:r>
        <w:rPr>
          <w:b/>
          <w:bCs/>
        </w:rPr>
        <w:t>:</w:t>
      </w:r>
      <w:r>
        <w:t xml:space="preserve"> John identifies faith itself as the victory already won, not merely the means to some separate win — and specifies its object precisely as belief that Jesus is the Son of God.</w:t>
      </w:r>
    </w:p>
    <w:p w14:paraId="14E82A3D" w14:textId="77777777" w:rsidR="00931CA2" w:rsidRDefault="002E4938">
      <w:pPr>
        <w:numPr>
          <w:ilvl w:val="0"/>
          <w:numId w:val="18"/>
        </w:numPr>
      </w:pPr>
      <w:r>
        <w:rPr>
          <w:b/>
          <w:bCs/>
        </w:rPr>
        <w:t>Scripture never treats faith as an all-or-nothing binary.</w:t>
      </w:r>
      <w:r>
        <w:t xml:space="preserve"> Genuine faith and genuine doubt visibly coexist in the same sentence — “Lord, I believe; help my unbelief!” (Mark 9:24) — and Jesus receives that prayer with compassion rather than correction; He casts out the spirit. If the two could not coexist, that verse could not have been written. Leadership should be prepared to distinguish ordinary, struggling faith from settled unbelief, since Scripture plainly treats them differently, and a great many </w:t>
      </w:r>
      <w:proofErr w:type="gramStart"/>
      <w:r>
        <w:t>people</w:t>
      </w:r>
      <w:proofErr w:type="gramEnd"/>
      <w:r>
        <w:t xml:space="preserve"> in the pews privately believe that asking for help with</w:t>
      </w:r>
      <w:r>
        <w:t xml:space="preserve"> their faith is evidence they have none.</w:t>
      </w:r>
    </w:p>
    <w:p w14:paraId="14E82A3E" w14:textId="77777777" w:rsidR="00931CA2" w:rsidRDefault="002E4938">
      <w:pPr>
        <w:numPr>
          <w:ilvl w:val="0"/>
          <w:numId w:val="7"/>
        </w:numPr>
      </w:pPr>
      <w:r>
        <w:rPr>
          <w:b/>
          <w:bCs/>
        </w:rPr>
        <w:t>The shield is corporate armor, carried by a body standing together.</w:t>
      </w:r>
      <w:r>
        <w:t xml:space="preserve"> Every second-person form governing the armor of God in Ephesians 6:10-18 is plural in the Greek: </w:t>
      </w:r>
      <w:proofErr w:type="spellStart"/>
      <w:r>
        <w:t>ἐ</w:t>
      </w:r>
      <w:r>
        <w:t>νδυν</w:t>
      </w:r>
      <w:proofErr w:type="spellEnd"/>
      <w:r>
        <w:t>αμο</w:t>
      </w:r>
      <w:r>
        <w:t>ῦ</w:t>
      </w:r>
      <w:r>
        <w:t xml:space="preserve">σθε (“be strong,” 6:10) and </w:t>
      </w:r>
      <w:proofErr w:type="spellStart"/>
      <w:r>
        <w:t>ἀ</w:t>
      </w:r>
      <w:r>
        <w:t>ν</w:t>
      </w:r>
      <w:proofErr w:type="spellEnd"/>
      <w:r>
        <w:t>αλάβετε (“take up,” 6:13) are both second person plural imperatives.</w:t>
      </w:r>
      <w:r>
        <w:rPr>
          <w:rStyle w:val="FootnoteReference"/>
        </w:rPr>
        <w:footnoteReference w:id="11"/>
      </w:r>
      <w:r>
        <w:t xml:space="preserve"> The word Paul chose for the shield reinforces this. It is </w:t>
      </w:r>
      <w:proofErr w:type="spellStart"/>
      <w:r>
        <w:t>θυρεός</w:t>
      </w:r>
      <w:proofErr w:type="spellEnd"/>
      <w:r>
        <w:t xml:space="preserve">, from </w:t>
      </w:r>
      <w:proofErr w:type="spellStart"/>
      <w:r>
        <w:t>θύρ</w:t>
      </w:r>
      <w:proofErr w:type="spellEnd"/>
      <w:r>
        <w:t xml:space="preserve">α, “door.” Liddell-Scott-Jones gives two senses: first, “a stone put against a door to keep it shut,” the Homeric usage; second, in later Greek, an “oblong shield (shaped like a </w:t>
      </w:r>
      <w:proofErr w:type="gramStart"/>
      <w:r>
        <w:t>door)…</w:t>
      </w:r>
      <w:proofErr w:type="gramEnd"/>
      <w:r>
        <w:t xml:space="preserve"> of the Roman </w:t>
      </w:r>
      <w:r>
        <w:rPr>
          <w:i/>
          <w:iCs/>
        </w:rPr>
        <w:t>scutum</w:t>
      </w:r>
      <w:r>
        <w:t xml:space="preserve"> (opp. </w:t>
      </w:r>
      <w:proofErr w:type="spellStart"/>
      <w:r>
        <w:t>ἀ</w:t>
      </w:r>
      <w:r>
        <w:t>σ</w:t>
      </w:r>
      <w:proofErr w:type="spellEnd"/>
      <w:r>
        <w:t xml:space="preserve">πίς, = </w:t>
      </w:r>
      <w:proofErr w:type="spellStart"/>
      <w:r>
        <w:rPr>
          <w:i/>
          <w:iCs/>
        </w:rPr>
        <w:t>clipeus</w:t>
      </w:r>
      <w:proofErr w:type="spellEnd"/>
      <w:r>
        <w:t>).”</w:t>
      </w:r>
      <w:r>
        <w:rPr>
          <w:rStyle w:val="FootnoteReference"/>
        </w:rPr>
        <w:footnoteReference w:id="12"/>
      </w:r>
      <w:r>
        <w:t xml:space="preserve"> Abbott-Smith gives the same development in briefer form: “in Hom., a door-stone. 2. In late Gk. (</w:t>
      </w:r>
      <w:proofErr w:type="spellStart"/>
      <w:r>
        <w:t>Polyb</w:t>
      </w:r>
      <w:proofErr w:type="spellEnd"/>
      <w:r>
        <w:t xml:space="preserve">., Plut.), the </w:t>
      </w:r>
      <w:r>
        <w:rPr>
          <w:i/>
          <w:iCs/>
        </w:rPr>
        <w:t>scutum</w:t>
      </w:r>
      <w:r>
        <w:t>, a large oblong shield.”</w:t>
      </w:r>
      <w:r>
        <w:rPr>
          <w:rStyle w:val="FootnoteReference"/>
        </w:rPr>
        <w:footnoteReference w:id="13"/>
      </w:r>
      <w:r>
        <w:t xml:space="preserve"> This is emphatically not the small round shield; Greek had a separate word for that, </w:t>
      </w:r>
      <w:proofErr w:type="spellStart"/>
      <w:r>
        <w:t>ἀ</w:t>
      </w:r>
      <w:r>
        <w:t>σ</w:t>
      </w:r>
      <w:proofErr w:type="spellEnd"/>
      <w:r>
        <w:t xml:space="preserve">πίς, and LSJ explicitly sets </w:t>
      </w:r>
      <w:proofErr w:type="spellStart"/>
      <w:r>
        <w:t>θυρεός</w:t>
      </w:r>
      <w:proofErr w:type="spellEnd"/>
      <w:r>
        <w:t xml:space="preserve"> in opposition to it. A single legionary’s </w:t>
      </w:r>
      <w:proofErr w:type="spellStart"/>
      <w:r>
        <w:t>θυρεός</w:t>
      </w:r>
      <w:proofErr w:type="spellEnd"/>
      <w:r>
        <w:t xml:space="preserve"> protected the man behind it; a line of them locked together protected the unit. A congregation’s testimony, corporate prayer, and mutual exhortation are therefore a literal means of strengthening the shield, not merely a separate encouragement to feel good.</w:t>
      </w:r>
    </w:p>
    <w:p w14:paraId="14E82A3F" w14:textId="77777777" w:rsidR="00931CA2" w:rsidRDefault="002E4938">
      <w:pPr>
        <w:numPr>
          <w:ilvl w:val="0"/>
          <w:numId w:val="7"/>
        </w:numPr>
      </w:pPr>
      <w:r>
        <w:rPr>
          <w:b/>
          <w:bCs/>
        </w:rPr>
        <w:t>Public worship either strengthens or quietly thins a congregation’s collective shield.</w:t>
      </w:r>
      <w:r>
        <w:t xml:space="preserve"> Whether it does one or the other depends on whether preaching, singing, and public prayer </w:t>
      </w:r>
      <w:proofErr w:type="gramStart"/>
      <w:r>
        <w:t>actually rehearse</w:t>
      </w:r>
      <w:proofErr w:type="gramEnd"/>
      <w:r>
        <w:t xml:space="preserve"> God’s specific, concrete faithfulness or mostly trade in general religious sentiment. Since faith is fed by a message with definite content (takeaway 2) and by active corporate remembrance (takeaway 3), the </w:t>
      </w:r>
      <w:r>
        <w:lastRenderedPageBreak/>
        <w:t>actual content of an ordinary Sunday service is a direct spiritual-warfare concern, not merely a separate program area. The deep study raises this as an open question for leadership in Part Seven;</w:t>
      </w:r>
      <w:r>
        <w:t xml:space="preserve"> this guide raises it again in discussion question 3 and diagnostic question 10, because it is the point at which a decision here would touch the largest number of members fastest.</w:t>
      </w:r>
      <w:bookmarkEnd w:id="8"/>
    </w:p>
    <w:p w14:paraId="14E82A59" w14:textId="77777777" w:rsidR="00931CA2" w:rsidRDefault="002E4938">
      <w:bookmarkStart w:id="9" w:name="__RefHeading___Toc1856_2729739456"/>
      <w:bookmarkStart w:id="10" w:name="__RefHeading___Toc1858_2729739456"/>
      <w:bookmarkStart w:id="11" w:name="Xa8ed5bd40a36b021b5a1a40adbd4e0545eb8c9b"/>
      <w:bookmarkEnd w:id="9"/>
      <w:bookmarkEnd w:id="10"/>
      <w:r>
        <w:rPr>
          <w:noProof/>
        </w:rPr>
        <mc:AlternateContent>
          <mc:Choice Requires="wps">
            <w:drawing>
              <wp:inline distT="0" distB="0" distL="0" distR="0" wp14:anchorId="14E82AB5" wp14:editId="14E82AB6">
                <wp:extent cx="5943600" cy="19050"/>
                <wp:effectExtent l="0" t="0" r="0" b="0"/>
                <wp:docPr id="9" name="Rectangle 9"/>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4F6D4331" id="Rectangle 9"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11"/>
    </w:p>
    <w:p w14:paraId="14E82A5A" w14:textId="77777777" w:rsidR="00931CA2" w:rsidRDefault="002E4938">
      <w:pPr>
        <w:pStyle w:val="Heading1"/>
      </w:pPr>
      <w:bookmarkStart w:id="12" w:name="__RefHeading___Toc1860_2729739456"/>
      <w:bookmarkEnd w:id="12"/>
      <w:r>
        <w:t xml:space="preserve">Leadership Team Diagnostic: How Well Do </w:t>
      </w:r>
      <w:proofErr w:type="gramStart"/>
      <w:r>
        <w:t>We Ourselves</w:t>
      </w:r>
      <w:proofErr w:type="gramEnd"/>
      <w:r>
        <w:t xml:space="preserve"> Use the Shield of Faith?</w:t>
      </w:r>
    </w:p>
    <w:p w14:paraId="14E82A5B" w14:textId="77777777" w:rsidR="00931CA2" w:rsidRDefault="002E4938">
      <w:pPr>
        <w:pStyle w:val="FirstParagraph"/>
      </w:pPr>
      <w:r>
        <w:t xml:space="preserve">Before evaluating the congregation, leadership should be willing to turn the same questions on itself. A team that has not examined its own practice of faith is poorly positioned to diagnose anyone else’s, and members will generally absorb what leadership </w:t>
      </w:r>
      <w:proofErr w:type="gramStart"/>
      <w:r>
        <w:t>actually does</w:t>
      </w:r>
      <w:proofErr w:type="gramEnd"/>
      <w:r>
        <w:t xml:space="preserve"> far more than what leadership merely says.</w:t>
      </w:r>
    </w:p>
    <w:p w14:paraId="14E82A5C" w14:textId="77777777" w:rsidR="00931CA2" w:rsidRDefault="002E4938">
      <w:pPr>
        <w:pStyle w:val="Compact"/>
        <w:numPr>
          <w:ilvl w:val="0"/>
          <w:numId w:val="29"/>
        </w:numPr>
      </w:pPr>
      <w:r>
        <w:t>Can each member of this leadership team articulate Hebrews 11:1’s definition of faith in our own words, without quietly lapsing into “a feeling of confidence” language ourselves?</w:t>
      </w:r>
    </w:p>
    <w:p w14:paraId="14E82A5D" w14:textId="77777777" w:rsidR="00931CA2" w:rsidRDefault="002E4938">
      <w:pPr>
        <w:pStyle w:val="Compact"/>
        <w:numPr>
          <w:ilvl w:val="0"/>
          <w:numId w:val="30"/>
        </w:numPr>
      </w:pPr>
      <w:r>
        <w:t>Do we, individually, keep any actual record — written or otherwise disciplined — of specific answered prayers and instances of God’s faithfulness in our own lives and ministry, or are we asking the congregation to practice a discipline (sections 2.4 and 5.4 of the full study) that we do not practice ourselves?</w:t>
      </w:r>
    </w:p>
    <w:p w14:paraId="14E82A5E" w14:textId="77777777" w:rsidR="00931CA2" w:rsidRDefault="002E4938">
      <w:pPr>
        <w:pStyle w:val="Compact"/>
        <w:numPr>
          <w:ilvl w:val="0"/>
          <w:numId w:val="31"/>
        </w:numPr>
      </w:pPr>
      <w:r>
        <w:t>When was the last time a member of this leadership team told the rest of us about a specific, named doubt or a specific fiery dart we were personally facing — or does our own team’s culture make that as difficult as we suspect it is for the wider congregation?</w:t>
      </w:r>
    </w:p>
    <w:p w14:paraId="14E82A5F" w14:textId="77777777" w:rsidR="00931CA2" w:rsidRDefault="002E4938">
      <w:pPr>
        <w:pStyle w:val="Compact"/>
        <w:numPr>
          <w:ilvl w:val="0"/>
          <w:numId w:val="32"/>
        </w:numPr>
      </w:pPr>
      <w:r>
        <w:t>Do we currently have, individually, a prepared, specific verse for the recurring temptation each of us is most likely to personally face — the same discipline section 5.3 of the full study recommends teaching members to build?</w:t>
      </w:r>
    </w:p>
    <w:p w14:paraId="14E82A60" w14:textId="77777777" w:rsidR="00931CA2" w:rsidRDefault="002E4938">
      <w:pPr>
        <w:pStyle w:val="Compact"/>
        <w:numPr>
          <w:ilvl w:val="0"/>
          <w:numId w:val="33"/>
        </w:numPr>
      </w:pPr>
      <w:r>
        <w:t>Whose responsibility is it, functionally, when a fellow leader is visibly struggling in faith? Does this team have any actual, regular practice of leaders praying for and with one another by name, or does mutual accountability exist mostly as a stated principle rather than a real practice?</w:t>
      </w:r>
    </w:p>
    <w:p w14:paraId="14E82A61" w14:textId="77777777" w:rsidR="00931CA2" w:rsidRDefault="002E4938">
      <w:pPr>
        <w:pStyle w:val="Compact"/>
        <w:numPr>
          <w:ilvl w:val="0"/>
          <w:numId w:val="34"/>
        </w:numPr>
      </w:pPr>
      <w:r>
        <w:t>Has our own teaching or preaching, examined honestly, ever leaned on prosperity or “word of faith”-adjacent language — claiming, releasing, or speaking things into existence — without our fully realizing it, even though we would reject that theology outright if it were named directly (section 4.2 of the full study)?</w:t>
      </w:r>
    </w:p>
    <w:p w14:paraId="14E82A62" w14:textId="77777777" w:rsidR="00931CA2" w:rsidRDefault="002E4938">
      <w:pPr>
        <w:pStyle w:val="Compact"/>
        <w:numPr>
          <w:ilvl w:val="0"/>
          <w:numId w:val="35"/>
        </w:numPr>
      </w:pPr>
      <w:r>
        <w:t>Do we, as a team, tend to project settled confidence to the congregation even when we are personally in genuine doubt? If so, are we unintentionally teaching by example that doubt must be hidden, rather than modeling the honest prayer of Mark 9:24?</w:t>
      </w:r>
    </w:p>
    <w:p w14:paraId="14E82A63" w14:textId="77777777" w:rsidR="00931CA2" w:rsidRDefault="002E4938">
      <w:pPr>
        <w:pStyle w:val="Compact"/>
        <w:numPr>
          <w:ilvl w:val="0"/>
          <w:numId w:val="36"/>
        </w:numPr>
      </w:pPr>
      <w:r>
        <w:t xml:space="preserve">How much of our own team’s shared life together — meetings, planning sessions, prayer time — is </w:t>
      </w:r>
      <w:proofErr w:type="gramStart"/>
      <w:r>
        <w:t>actually built</w:t>
      </w:r>
      <w:proofErr w:type="gramEnd"/>
      <w:r>
        <w:t xml:space="preserve"> around rehearsing God’s specific past faithfulness to </w:t>
      </w:r>
      <w:r>
        <w:lastRenderedPageBreak/>
        <w:t>this congregation, versus being consumed entirely by logistics and problem-solving?</w:t>
      </w:r>
    </w:p>
    <w:p w14:paraId="14E82A64" w14:textId="77777777" w:rsidR="00931CA2" w:rsidRDefault="002E4938">
      <w:pPr>
        <w:pStyle w:val="Compact"/>
        <w:numPr>
          <w:ilvl w:val="0"/>
          <w:numId w:val="37"/>
        </w:numPr>
      </w:pPr>
      <w:r>
        <w:t>If a new believer watched this leadership team navigate a real, current crisis or disappointment, would they see faith exercised as settled reliance on God’s word — or would they see anxiety, control, or a reliance on our own competence managed just well enough to look composed?</w:t>
      </w:r>
    </w:p>
    <w:p w14:paraId="14E82A65" w14:textId="77777777" w:rsidR="00931CA2" w:rsidRDefault="002E4938">
      <w:pPr>
        <w:pStyle w:val="Compact"/>
        <w:numPr>
          <w:ilvl w:val="0"/>
          <w:numId w:val="38"/>
        </w:numPr>
      </w:pPr>
      <w:r>
        <w:t>Are we, as a team, actually growing in specific, personal knowledge of Christ ourselves (section 3.3 of the full study) through our own study, prayer, and testimony to one another — or has our relationship to Scripture become primarily functional, mined for sermon and lesson material rather than feeding our own faith first?</w:t>
      </w:r>
    </w:p>
    <w:p w14:paraId="14E82A66" w14:textId="77777777" w:rsidR="00931CA2" w:rsidRDefault="002E4938">
      <w:bookmarkStart w:id="13" w:name="Xad66d6f788f53c9021aac23fd7801484eeda174"/>
      <w:r>
        <w:rPr>
          <w:noProof/>
        </w:rPr>
        <mc:AlternateContent>
          <mc:Choice Requires="wps">
            <w:drawing>
              <wp:inline distT="0" distB="0" distL="0" distR="0" wp14:anchorId="14E82AB7" wp14:editId="14E82AB8">
                <wp:extent cx="5943600" cy="19050"/>
                <wp:effectExtent l="0" t="0" r="0" b="0"/>
                <wp:docPr id="11" name="Rectangle 1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08101680" id="Rectangle 11"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13"/>
    </w:p>
    <w:p w14:paraId="14E82A67" w14:textId="77777777" w:rsidR="00931CA2" w:rsidRDefault="002E4938">
      <w:pPr>
        <w:pStyle w:val="Heading1"/>
      </w:pPr>
      <w:bookmarkStart w:id="14" w:name="__RefHeading___Toc1862_2729739456"/>
      <w:bookmarkEnd w:id="14"/>
      <w:r>
        <w:t>Leadership Team Discussion Questions</w:t>
      </w:r>
    </w:p>
    <w:p w14:paraId="14E82A68" w14:textId="77777777" w:rsidR="00931CA2" w:rsidRDefault="002E4938">
      <w:pPr>
        <w:pStyle w:val="Compact"/>
        <w:numPr>
          <w:ilvl w:val="0"/>
          <w:numId w:val="39"/>
        </w:numPr>
      </w:pPr>
      <w:r>
        <w:t>Of the six distortions named in Part Four of the full study (feeling, force or formula, passivity, individualism, illiteracy, therapeutic framing), which one do we, as leadership, suspect is most present in this congregation right now? What is our evidence, and what is just an impression?</w:t>
      </w:r>
    </w:p>
    <w:p w14:paraId="14E82A69" w14:textId="77777777" w:rsidR="00931CA2" w:rsidRDefault="002E4938">
      <w:pPr>
        <w:pStyle w:val="Compact"/>
        <w:numPr>
          <w:ilvl w:val="0"/>
          <w:numId w:val="40"/>
        </w:numPr>
      </w:pPr>
      <w:r>
        <w:t xml:space="preserve">Are we, as a leadership team, modeling active, specific faith — naming specific answered prayers, specific promises relied on, specific fears handed to God — in ways members can </w:t>
      </w:r>
      <w:proofErr w:type="gramStart"/>
      <w:r>
        <w:t>actually see</w:t>
      </w:r>
      <w:proofErr w:type="gramEnd"/>
      <w:r>
        <w:t xml:space="preserve"> and imitate? Or do we default to generic religious language even with each other?</w:t>
      </w:r>
    </w:p>
    <w:p w14:paraId="14E82A6A" w14:textId="77777777" w:rsidR="00931CA2" w:rsidRDefault="002E4938">
      <w:pPr>
        <w:pStyle w:val="Compact"/>
        <w:numPr>
          <w:ilvl w:val="0"/>
          <w:numId w:val="41"/>
        </w:numPr>
      </w:pPr>
      <w:r>
        <w:t xml:space="preserve">Part Seven of the full study asks whether our public worship </w:t>
      </w:r>
      <w:proofErr w:type="gramStart"/>
      <w:r>
        <w:t>actually builds</w:t>
      </w:r>
      <w:proofErr w:type="gramEnd"/>
      <w:r>
        <w:t xml:space="preserve"> shields or inadvertently thins them. Looking honestly at a recent month of sermons, songs, and public prayers, would we say they rehearsed God’s specific faithfulness in concrete terms, or mostly traded in general sentiment?</w:t>
      </w:r>
    </w:p>
    <w:p w14:paraId="14E82A6B" w14:textId="77777777" w:rsidR="00931CA2" w:rsidRDefault="002E4938">
      <w:pPr>
        <w:pStyle w:val="Compact"/>
        <w:numPr>
          <w:ilvl w:val="0"/>
          <w:numId w:val="42"/>
        </w:numPr>
      </w:pPr>
      <w:r>
        <w:t>If faith is both gift and active response (Ephesians 2:8-9 and 2 Peter 1:5 held together, with Romans 12:3’s “measure of faith” between them), are we currently over-emphasizing one side — either treating faith as something members should simply already have without any active cultivation, or pressuring members to manufacture more faith through sheer effort?</w:t>
      </w:r>
    </w:p>
    <w:p w14:paraId="14E82A6C" w14:textId="77777777" w:rsidR="00931CA2" w:rsidRDefault="002E4938">
      <w:pPr>
        <w:pStyle w:val="Compact"/>
        <w:numPr>
          <w:ilvl w:val="0"/>
          <w:numId w:val="43"/>
        </w:numPr>
      </w:pPr>
      <w:r>
        <w:t>What would change in how we structure small groups, one-on-one discipleship, or member care if we treated “strengthening each other’s shield of faith” as an explicit, named goal rather than an assumed byproduct of general fellowship?</w:t>
      </w:r>
    </w:p>
    <w:p w14:paraId="14E82A6D" w14:textId="77777777" w:rsidR="00931CA2" w:rsidRDefault="002E4938">
      <w:pPr>
        <w:pStyle w:val="Compact"/>
        <w:numPr>
          <w:ilvl w:val="0"/>
          <w:numId w:val="44"/>
        </w:numPr>
      </w:pPr>
      <w:r>
        <w:t>Given that faith and victory are identified as the very same reality in 1 John 5:4-5, are we currently teaching members to wait for faith to produce some separate, visible “win” — or are we teaching them that trusting God is itself already the victory, whatever outcome does or does not follow?</w:t>
      </w:r>
    </w:p>
    <w:p w14:paraId="14E82A6E" w14:textId="77777777" w:rsidR="00931CA2" w:rsidRDefault="002E4938">
      <w:pPr>
        <w:pStyle w:val="Compact"/>
        <w:numPr>
          <w:ilvl w:val="0"/>
          <w:numId w:val="45"/>
        </w:numPr>
      </w:pPr>
      <w:r>
        <w:t>Do our current membership or new-believer classes teach the biblical definition of faith explicitly and early, or do we assume it will be absorbed automatically through ordinary church attendance over time?</w:t>
      </w:r>
    </w:p>
    <w:p w14:paraId="14E82A6F" w14:textId="77777777" w:rsidR="00931CA2" w:rsidRDefault="002E4938">
      <w:pPr>
        <w:pStyle w:val="Compact"/>
        <w:numPr>
          <w:ilvl w:val="0"/>
          <w:numId w:val="46"/>
        </w:numPr>
      </w:pPr>
      <w:r>
        <w:lastRenderedPageBreak/>
        <w:t>Looking honestly at our recent pastoral care conversations, do we respond to a member’s expressed doubt more often with correction or with the same compassion Jesus showed the father in Mark 9:24 — and which response would those actual conversations demonstrate if we reviewed them?</w:t>
      </w:r>
    </w:p>
    <w:p w14:paraId="14E82A70" w14:textId="77777777" w:rsidR="00931CA2" w:rsidRDefault="002E4938">
      <w:pPr>
        <w:pStyle w:val="Compact"/>
        <w:numPr>
          <w:ilvl w:val="0"/>
          <w:numId w:val="47"/>
        </w:numPr>
      </w:pPr>
      <w:r>
        <w:t xml:space="preserve">Where in our congregation’s current life is </w:t>
      </w:r>
      <w:proofErr w:type="gramStart"/>
      <w:r>
        <w:t>faith</w:t>
      </w:r>
      <w:proofErr w:type="gramEnd"/>
      <w:r>
        <w:t xml:space="preserve"> most functionally treated as private and individual rather than corporate — and is that primarily a structural problem (how our groups and ministries are organized) or a teaching problem (what we have </w:t>
      </w:r>
      <w:proofErr w:type="gramStart"/>
      <w:r>
        <w:t>actually said</w:t>
      </w:r>
      <w:proofErr w:type="gramEnd"/>
      <w:r>
        <w:t xml:space="preserve"> faith is)?</w:t>
      </w:r>
    </w:p>
    <w:p w14:paraId="14E82A71" w14:textId="77777777" w:rsidR="00931CA2" w:rsidRDefault="002E4938">
      <w:pPr>
        <w:pStyle w:val="Compact"/>
        <w:numPr>
          <w:ilvl w:val="0"/>
          <w:numId w:val="48"/>
        </w:numPr>
      </w:pPr>
      <w:r>
        <w:t xml:space="preserve">How will we handle </w:t>
      </w:r>
      <w:proofErr w:type="gramStart"/>
      <w:r>
        <w:t>a public correction</w:t>
      </w:r>
      <w:proofErr w:type="gramEnd"/>
      <w:r>
        <w:t xml:space="preserve">? This revision of the study withdraws two claims that circulated in earlier drafts of this series: the </w:t>
      </w:r>
      <w:proofErr w:type="spellStart"/>
      <w:r>
        <w:t>ῥῆ</w:t>
      </w:r>
      <w:r>
        <w:t>μ</w:t>
      </w:r>
      <w:proofErr w:type="spellEnd"/>
      <w:r>
        <w:t xml:space="preserve">α/λόγος contrast, and the description of the </w:t>
      </w:r>
      <w:proofErr w:type="spellStart"/>
      <w:r>
        <w:t>μάχ</w:t>
      </w:r>
      <w:proofErr w:type="spellEnd"/>
      <w:r>
        <w:t xml:space="preserve">αιρα of Ephesians 6:17 as a weapon used mainly for stabbing. The lexicons in fact place the cutting stroke with the </w:t>
      </w:r>
      <w:proofErr w:type="spellStart"/>
      <w:r>
        <w:t>μάχ</w:t>
      </w:r>
      <w:proofErr w:type="spellEnd"/>
      <w:r>
        <w:t xml:space="preserve">αιρα and the thrust with the straight sword, </w:t>
      </w:r>
      <w:proofErr w:type="spellStart"/>
      <w:r>
        <w:t>ξίφος</w:t>
      </w:r>
      <w:proofErr w:type="spellEnd"/>
      <w:r>
        <w:t>.</w:t>
      </w:r>
      <w:r>
        <w:rPr>
          <w:rStyle w:val="FootnoteReference"/>
        </w:rPr>
        <w:footnoteReference w:id="14"/>
      </w:r>
      <w:r>
        <w:t xml:space="preserve"> Do we correct such things from the front, quietly in classes, or not at all — and what does our answer teach the congregation about the authority of Scripture over our own prior teaching?</w:t>
      </w:r>
    </w:p>
    <w:p w14:paraId="14E82A72" w14:textId="77777777" w:rsidR="00931CA2" w:rsidRDefault="002E4938">
      <w:bookmarkStart w:id="15" w:name="leadership-team-discussion-questions"/>
      <w:r>
        <w:rPr>
          <w:noProof/>
        </w:rPr>
        <mc:AlternateContent>
          <mc:Choice Requires="wps">
            <w:drawing>
              <wp:inline distT="0" distB="0" distL="0" distR="0" wp14:anchorId="14E82AB9" wp14:editId="14E82ABA">
                <wp:extent cx="5943600" cy="19050"/>
                <wp:effectExtent l="0" t="0" r="0" b="0"/>
                <wp:docPr id="13" name="Rectangle 13"/>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60833550" id="Rectangle 13"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15"/>
    </w:p>
    <w:p w14:paraId="14E82A73" w14:textId="77777777" w:rsidR="00931CA2" w:rsidRDefault="002E4938">
      <w:pPr>
        <w:pStyle w:val="Heading1"/>
      </w:pPr>
      <w:bookmarkStart w:id="16" w:name="__RefHeading___Toc1864_2729739456"/>
      <w:bookmarkEnd w:id="16"/>
      <w:r>
        <w:t>Strategic Recommendations for Consideration</w:t>
      </w:r>
    </w:p>
    <w:p w14:paraId="14E82A74" w14:textId="77777777" w:rsidR="00931CA2" w:rsidRDefault="002E4938">
      <w:pPr>
        <w:pStyle w:val="FirstParagraph"/>
      </w:pPr>
      <w:r>
        <w:t>Ten recommendations follow, grouped by the area of church life they touch. Leadership is not expected to adopt all ten. The point of the list is to make the choices explicit so that two or three can be chosen deliberately, assigned, and dated in the action plan below.</w:t>
      </w:r>
    </w:p>
    <w:p w14:paraId="14E82A75" w14:textId="77777777" w:rsidR="00931CA2" w:rsidRDefault="002E4938">
      <w:pPr>
        <w:pStyle w:val="Heading2"/>
      </w:pPr>
      <w:bookmarkStart w:id="17" w:name="__RefHeading___Toc1866_2729739456"/>
      <w:bookmarkStart w:id="18" w:name="X345f62d46b5c6c50bb2673fc483e9031ebc67e4"/>
      <w:bookmarkEnd w:id="17"/>
      <w:r>
        <w:t>Teaching, Preaching, and Formal Instruction</w:t>
      </w:r>
    </w:p>
    <w:p w14:paraId="14E82A76" w14:textId="77777777" w:rsidR="00931CA2" w:rsidRDefault="002E4938">
      <w:pPr>
        <w:pStyle w:val="FirstParagraph"/>
      </w:pPr>
      <w:r>
        <w:rPr>
          <w:b/>
          <w:bCs/>
        </w:rPr>
        <w:t>Preaching and teaching.</w:t>
      </w:r>
      <w:r>
        <w:t xml:space="preserve"> Consider a short sermon or teaching series specifically on the biblical definition of faith (Hebrews 11:1; Romans 10:14-17) before or alongside any series that assumes the congregation already has a correct, working definition. Directly and explicitly name and correct the prosperity and “word of faith” distortion at least once, since it is culturally pervasive even among members who would reject it if named outright (section 4.2 of the full study).</w:t>
      </w:r>
    </w:p>
    <w:p w14:paraId="14E82A77" w14:textId="77777777" w:rsidR="00931CA2" w:rsidRDefault="002E4938">
      <w:pPr>
        <w:pStyle w:val="BodyText"/>
      </w:pPr>
      <w:r>
        <w:rPr>
          <w:b/>
          <w:bCs/>
        </w:rPr>
        <w:t>New member and membership classes.</w:t>
      </w:r>
      <w:r>
        <w:t xml:space="preserve"> Build an explicit, early lesson on the biblical definition of faith (Hebrews 11:1; Hebrews 11:6) into new-member or membership-class curriculum, rather than assuming new believers will absorb a correct definition informally over time as part of general church life (diagnostic question 1 above).</w:t>
      </w:r>
    </w:p>
    <w:p w14:paraId="14E82A78" w14:textId="77777777" w:rsidR="00931CA2" w:rsidRDefault="002E4938">
      <w:pPr>
        <w:pStyle w:val="BodyText"/>
      </w:pPr>
      <w:r>
        <w:rPr>
          <w:b/>
          <w:bCs/>
        </w:rPr>
        <w:t>Family and household discipleship.</w:t>
      </w:r>
      <w:r>
        <w:t xml:space="preserve"> Equip parents specifically to teach children the difference between biblical faith and both secular “faith” (belief without evidence) and prosperity “faith” (belief as a manipulative force), since children absorb whichever definition is culturally dominant if none is deliberately taught.</w:t>
      </w:r>
      <w:bookmarkEnd w:id="18"/>
    </w:p>
    <w:p w14:paraId="14E82A79" w14:textId="77777777" w:rsidR="00931CA2" w:rsidRDefault="002E4938">
      <w:pPr>
        <w:pStyle w:val="Heading2"/>
      </w:pPr>
      <w:bookmarkStart w:id="19" w:name="__RefHeading___Toc1868_2729739456"/>
      <w:bookmarkStart w:id="20" w:name="X951ef1173b198bf575928c3375f984f49a7644f"/>
      <w:bookmarkEnd w:id="19"/>
      <w:r>
        <w:lastRenderedPageBreak/>
        <w:t>Discipleship, Small Groups, and Pastoral Care</w:t>
      </w:r>
    </w:p>
    <w:p w14:paraId="14E82A7A" w14:textId="77777777" w:rsidR="00931CA2" w:rsidRDefault="002E4938">
      <w:pPr>
        <w:pStyle w:val="FirstParagraph"/>
      </w:pPr>
      <w:r>
        <w:rPr>
          <w:b/>
          <w:bCs/>
        </w:rPr>
        <w:t>Small groups and discipleship curriculum.</w:t>
      </w:r>
      <w:r>
        <w:t xml:space="preserve"> Build a specific exercise into small group or one-on-one discipleship material: each person identifies one recurring temptation and locates one specific verse to answer it in advance (section 5.3 of the full study), then reports back </w:t>
      </w:r>
      <w:proofErr w:type="gramStart"/>
      <w:r>
        <w:t>later on</w:t>
      </w:r>
      <w:proofErr w:type="gramEnd"/>
      <w:r>
        <w:t xml:space="preserve"> how it was </w:t>
      </w:r>
      <w:proofErr w:type="gramStart"/>
      <w:r>
        <w:t>actually used</w:t>
      </w:r>
      <w:proofErr w:type="gramEnd"/>
      <w:r>
        <w:t>. Build in regular time for members to share one specific, recent instance of God’s faithfulness — not generic praise, but a named, dated example (sections 2.4 and 5.4).</w:t>
      </w:r>
    </w:p>
    <w:p w14:paraId="14E82A7B" w14:textId="77777777" w:rsidR="00931CA2" w:rsidRDefault="002E4938">
      <w:pPr>
        <w:pStyle w:val="BodyText"/>
      </w:pPr>
      <w:r>
        <w:rPr>
          <w:b/>
          <w:bCs/>
        </w:rPr>
        <w:t>One-on-one discipleship and pastoral care.</w:t>
      </w:r>
      <w:r>
        <w:t xml:space="preserve"> When meeting with a member who reports weak faith or discouragement, consider deliberately modeling Mark 9:24 rather than correction — receiving “help my unbelief” as a legitimate prayer, not a confession requiring rebuke. Ask directly what specific Scripture they are currently feeding on, since a thin shield is often simply a thin diet (section 2.1 of the full study).</w:t>
      </w:r>
    </w:p>
    <w:p w14:paraId="14E82A7C" w14:textId="77777777" w:rsidR="00931CA2" w:rsidRDefault="002E4938">
      <w:pPr>
        <w:pStyle w:val="BodyText"/>
      </w:pPr>
      <w:r>
        <w:rPr>
          <w:b/>
          <w:bCs/>
        </w:rPr>
        <w:t>Crisis and pastoral-emergency protocol.</w:t>
      </w:r>
      <w:r>
        <w:t xml:space="preserve"> Develop a specific, known process by which a believer facing acute spiritual attack can quickly reach a trained person for prayer and specific scriptural encouragement, rather than relying on ad hoc availability — directly serving the “do not fight alone” principle of section 5.6 of the full study. The assignment should be concrete: a name, a phone number, an agreed time. “Reach out if you need anything” is not a shield wall.</w:t>
      </w:r>
      <w:bookmarkEnd w:id="20"/>
    </w:p>
    <w:p w14:paraId="14E82A7D" w14:textId="77777777" w:rsidR="00931CA2" w:rsidRDefault="002E4938">
      <w:pPr>
        <w:pStyle w:val="Heading2"/>
      </w:pPr>
      <w:bookmarkStart w:id="21" w:name="__RefHeading___Toc1870_2729739456"/>
      <w:bookmarkStart w:id="22" w:name="X649519c393e13cd73eff8cf477b49ff2be2db23"/>
      <w:bookmarkEnd w:id="21"/>
      <w:r>
        <w:t>Corporate Worship and Congregational Life</w:t>
      </w:r>
    </w:p>
    <w:p w14:paraId="14E82A7E" w14:textId="77777777" w:rsidR="00931CA2" w:rsidRDefault="002E4938">
      <w:pPr>
        <w:pStyle w:val="FirstParagraph"/>
      </w:pPr>
      <w:r>
        <w:rPr>
          <w:b/>
          <w:bCs/>
        </w:rPr>
        <w:t>Corporate worship and prayer.</w:t>
      </w:r>
      <w:r>
        <w:t xml:space="preserve"> Evaluate whether public prayer times regularly include specific, named remembrance of God’s past faithfulness to this congregation, and not only requests for future needs, consistent with Psalm 77:11’s discipline of deliberate recollection.</w:t>
      </w:r>
    </w:p>
    <w:p w14:paraId="14E82A7F" w14:textId="77777777" w:rsidR="00931CA2" w:rsidRDefault="002E4938">
      <w:pPr>
        <w:pStyle w:val="BodyText"/>
      </w:pPr>
      <w:r>
        <w:rPr>
          <w:b/>
          <w:bCs/>
        </w:rPr>
        <w:t>Testimony structure in corporate gatherings.</w:t>
      </w:r>
      <w:r>
        <w:t xml:space="preserve"> Create a regular, structured place in the church calendar for members to share specific, dated instances of God’s faithfulness, rather than relying on occasional, spontaneous opportunities — implementing Psalm 77:11’s discipline of deliberate remembrance at the corporate level (sections 2.4 and 2.5 of the full study). Consider pairing such times with the Old Testament shield texts, so that “shield” is heard as Genesis 15:1 hears it: “I am your shield.” Where the armor language of Ephesians 6 is taught, it </w:t>
      </w:r>
      <w:r>
        <w:t xml:space="preserve">is worth naming that the breastplate and helmet are drawn from Isaiah’s picture of the LORD Himself arming for battle — “For He put on righteousness as a breastplate, </w:t>
      </w:r>
      <w:proofErr w:type="gramStart"/>
      <w:r>
        <w:t>And</w:t>
      </w:r>
      <w:proofErr w:type="gramEnd"/>
      <w:r>
        <w:t xml:space="preserve"> a helmet of salvation on His head” (Isaiah 59:17) — because that establishes the armor as God’s own, shared, rather than a set of virtues the believer manufactures.</w:t>
      </w:r>
      <w:r>
        <w:rPr>
          <w:rStyle w:val="FootnoteReference"/>
        </w:rPr>
        <w:footnoteReference w:id="15"/>
      </w:r>
      <w:bookmarkEnd w:id="22"/>
    </w:p>
    <w:p w14:paraId="14E82A80" w14:textId="77777777" w:rsidR="00931CA2" w:rsidRDefault="002E4938">
      <w:pPr>
        <w:pStyle w:val="Heading2"/>
      </w:pPr>
      <w:bookmarkStart w:id="23" w:name="__RefHeading___Toc1872_2729739456"/>
      <w:bookmarkEnd w:id="23"/>
      <w:r>
        <w:t>Leadership Practice and Follow-Up</w:t>
      </w:r>
    </w:p>
    <w:p w14:paraId="14E82A81" w14:textId="77777777" w:rsidR="00931CA2" w:rsidRDefault="002E4938">
      <w:pPr>
        <w:pStyle w:val="FirstParagraph"/>
      </w:pPr>
      <w:r>
        <w:rPr>
          <w:b/>
          <w:bCs/>
        </w:rPr>
        <w:t>Leadership team formation.</w:t>
      </w:r>
      <w:r>
        <w:t xml:space="preserve"> Build the Leadership Team Diagnostic above into a recurring meeting item — quarterly, at minimum — rather than a single one-time </w:t>
      </w:r>
      <w:r>
        <w:lastRenderedPageBreak/>
        <w:t xml:space="preserve">exercise, so that leaders’ own practice of faith is examined and strengthened on an ongoing basis, not only the </w:t>
      </w:r>
      <w:proofErr w:type="gramStart"/>
      <w:r>
        <w:t>congregation’s</w:t>
      </w:r>
      <w:proofErr w:type="gramEnd"/>
      <w:r>
        <w:t>.</w:t>
      </w:r>
    </w:p>
    <w:p w14:paraId="14E82A82" w14:textId="77777777" w:rsidR="00931CA2" w:rsidRDefault="002E4938">
      <w:pPr>
        <w:pStyle w:val="BodyText"/>
      </w:pPr>
      <w:r>
        <w:rPr>
          <w:b/>
          <w:bCs/>
        </w:rPr>
        <w:t>Assessment and follow-up.</w:t>
      </w:r>
      <w:r>
        <w:t xml:space="preserve"> Set a specific date — six months from this meeting is a reasonable default — to revisit the diagnostic questions above as a team and honestly assess whether the strategic steps chosen here actually produced measurable change, rather than treating this meeting as a single closed event with no return visit.</w:t>
      </w:r>
    </w:p>
    <w:p w14:paraId="14E82A83" w14:textId="77777777" w:rsidR="00931CA2" w:rsidRDefault="002E4938">
      <w:bookmarkStart w:id="24" w:name="X23199637db370273a73098f7523b08ed2d3ca74"/>
      <w:bookmarkStart w:id="25" w:name="leadership-practice-and-follow-up"/>
      <w:r>
        <w:rPr>
          <w:noProof/>
        </w:rPr>
        <mc:AlternateContent>
          <mc:Choice Requires="wps">
            <w:drawing>
              <wp:inline distT="0" distB="0" distL="0" distR="0" wp14:anchorId="14E82ABB" wp14:editId="14E82ABC">
                <wp:extent cx="5943600" cy="19050"/>
                <wp:effectExtent l="0" t="0" r="0" b="0"/>
                <wp:docPr id="15" name="Rectangle 15"/>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5112D115" id="Rectangle 15"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24"/>
      <w:bookmarkEnd w:id="25"/>
    </w:p>
    <w:p w14:paraId="14E82A84" w14:textId="77777777" w:rsidR="00931CA2" w:rsidRDefault="002E4938">
      <w:pPr>
        <w:pStyle w:val="Heading1"/>
      </w:pPr>
      <w:bookmarkStart w:id="26" w:name="__RefHeading___Toc1874_2729739456"/>
      <w:bookmarkEnd w:id="26"/>
      <w:r>
        <w:t>Action Plan</w:t>
      </w:r>
    </w:p>
    <w:p w14:paraId="14E82A85" w14:textId="77777777" w:rsidR="00931CA2" w:rsidRDefault="002E4938">
      <w:pPr>
        <w:pStyle w:val="FirstParagraph"/>
      </w:pPr>
      <w:r>
        <w:t>Use this table to leave the meeting with concrete next steps rather than only a shared diagnosis.</w:t>
      </w:r>
    </w:p>
    <w:tbl>
      <w:tblPr>
        <w:tblStyle w:val="Table"/>
        <w:tblW w:w="7920" w:type="dxa"/>
        <w:tblInd w:w="113" w:type="dxa"/>
        <w:tblLayout w:type="fixed"/>
        <w:tblLook w:val="0020" w:firstRow="1" w:lastRow="0" w:firstColumn="0" w:lastColumn="0" w:noHBand="0" w:noVBand="0"/>
      </w:tblPr>
      <w:tblGrid>
        <w:gridCol w:w="2640"/>
        <w:gridCol w:w="2640"/>
        <w:gridCol w:w="2640"/>
      </w:tblGrid>
      <w:tr w:rsidR="00931CA2" w14:paraId="14E82A89" w14:textId="77777777" w:rsidTr="00931CA2">
        <w:trPr>
          <w:cnfStyle w:val="100000000000" w:firstRow="1" w:lastRow="0" w:firstColumn="0" w:lastColumn="0" w:oddVBand="0" w:evenVBand="0" w:oddHBand="0" w:evenHBand="0" w:firstRowFirstColumn="0" w:firstRowLastColumn="0" w:lastRowFirstColumn="0" w:lastRowLastColumn="0"/>
          <w:tblHeader/>
        </w:trPr>
        <w:tc>
          <w:tcPr>
            <w:tcW w:w="2640" w:type="dxa"/>
            <w:tcBorders>
              <w:top w:val="single" w:sz="4" w:space="0" w:color="000000"/>
              <w:left w:val="single" w:sz="4" w:space="0" w:color="000000"/>
              <w:bottom w:val="single" w:sz="6" w:space="0" w:color="000000"/>
              <w:right w:val="single" w:sz="4" w:space="0" w:color="000000"/>
            </w:tcBorders>
          </w:tcPr>
          <w:p w14:paraId="14E82A86" w14:textId="77777777" w:rsidR="00931CA2" w:rsidRDefault="002E4938">
            <w:pPr>
              <w:pStyle w:val="Compact"/>
            </w:pPr>
            <w:r>
              <w:t>What We Will Do</w:t>
            </w:r>
          </w:p>
        </w:tc>
        <w:tc>
          <w:tcPr>
            <w:tcW w:w="2640" w:type="dxa"/>
            <w:tcBorders>
              <w:top w:val="single" w:sz="4" w:space="0" w:color="000000"/>
              <w:left w:val="single" w:sz="4" w:space="0" w:color="000000"/>
              <w:bottom w:val="single" w:sz="6" w:space="0" w:color="000000"/>
              <w:right w:val="single" w:sz="4" w:space="0" w:color="000000"/>
            </w:tcBorders>
          </w:tcPr>
          <w:p w14:paraId="14E82A87" w14:textId="77777777" w:rsidR="00931CA2" w:rsidRDefault="002E4938">
            <w:pPr>
              <w:pStyle w:val="Compact"/>
            </w:pPr>
            <w:r>
              <w:t>Who Owns It</w:t>
            </w:r>
          </w:p>
        </w:tc>
        <w:tc>
          <w:tcPr>
            <w:tcW w:w="2640" w:type="dxa"/>
            <w:tcBorders>
              <w:top w:val="single" w:sz="4" w:space="0" w:color="000000"/>
              <w:left w:val="single" w:sz="4" w:space="0" w:color="000000"/>
              <w:bottom w:val="single" w:sz="6" w:space="0" w:color="000000"/>
              <w:right w:val="single" w:sz="4" w:space="0" w:color="000000"/>
            </w:tcBorders>
          </w:tcPr>
          <w:p w14:paraId="14E82A88" w14:textId="77777777" w:rsidR="00931CA2" w:rsidRDefault="002E4938">
            <w:pPr>
              <w:pStyle w:val="Compact"/>
            </w:pPr>
            <w:r>
              <w:t>By When</w:t>
            </w:r>
          </w:p>
        </w:tc>
      </w:tr>
      <w:tr w:rsidR="00931CA2" w14:paraId="14E82A8D" w14:textId="77777777" w:rsidTr="00931CA2">
        <w:trPr>
          <w:trHeight w:val="500"/>
        </w:trPr>
        <w:tc>
          <w:tcPr>
            <w:tcW w:w="2640" w:type="dxa"/>
            <w:tcBorders>
              <w:top w:val="single" w:sz="4" w:space="0" w:color="000000"/>
              <w:left w:val="single" w:sz="4" w:space="0" w:color="000000"/>
              <w:bottom w:val="single" w:sz="4" w:space="0" w:color="000000"/>
              <w:right w:val="single" w:sz="4" w:space="0" w:color="000000"/>
            </w:tcBorders>
          </w:tcPr>
          <w:p w14:paraId="14E82A8A"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8B"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8C" w14:textId="77777777" w:rsidR="00931CA2" w:rsidRDefault="00931CA2">
            <w:pPr>
              <w:pStyle w:val="Compact"/>
            </w:pPr>
          </w:p>
        </w:tc>
      </w:tr>
      <w:tr w:rsidR="00931CA2" w14:paraId="14E82A91" w14:textId="77777777" w:rsidTr="00931CA2">
        <w:trPr>
          <w:trHeight w:val="500"/>
        </w:trPr>
        <w:tc>
          <w:tcPr>
            <w:tcW w:w="2640" w:type="dxa"/>
            <w:tcBorders>
              <w:top w:val="single" w:sz="4" w:space="0" w:color="000000"/>
              <w:left w:val="single" w:sz="4" w:space="0" w:color="000000"/>
              <w:bottom w:val="single" w:sz="4" w:space="0" w:color="000000"/>
              <w:right w:val="single" w:sz="4" w:space="0" w:color="000000"/>
            </w:tcBorders>
          </w:tcPr>
          <w:p w14:paraId="14E82A8E"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8F"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90" w14:textId="77777777" w:rsidR="00931CA2" w:rsidRDefault="00931CA2">
            <w:pPr>
              <w:pStyle w:val="Compact"/>
            </w:pPr>
          </w:p>
        </w:tc>
      </w:tr>
      <w:tr w:rsidR="00931CA2" w14:paraId="14E82A95" w14:textId="77777777" w:rsidTr="00931CA2">
        <w:trPr>
          <w:trHeight w:val="500"/>
        </w:trPr>
        <w:tc>
          <w:tcPr>
            <w:tcW w:w="2640" w:type="dxa"/>
            <w:tcBorders>
              <w:top w:val="single" w:sz="4" w:space="0" w:color="000000"/>
              <w:left w:val="single" w:sz="4" w:space="0" w:color="000000"/>
              <w:bottom w:val="single" w:sz="4" w:space="0" w:color="000000"/>
              <w:right w:val="single" w:sz="4" w:space="0" w:color="000000"/>
            </w:tcBorders>
          </w:tcPr>
          <w:p w14:paraId="14E82A92"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93"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94" w14:textId="77777777" w:rsidR="00931CA2" w:rsidRDefault="00931CA2">
            <w:pPr>
              <w:pStyle w:val="Compact"/>
            </w:pPr>
          </w:p>
        </w:tc>
      </w:tr>
      <w:tr w:rsidR="00931CA2" w14:paraId="14E82A99" w14:textId="77777777" w:rsidTr="00931CA2">
        <w:trPr>
          <w:trHeight w:val="500"/>
        </w:trPr>
        <w:tc>
          <w:tcPr>
            <w:tcW w:w="2640" w:type="dxa"/>
            <w:tcBorders>
              <w:top w:val="single" w:sz="4" w:space="0" w:color="000000"/>
              <w:left w:val="single" w:sz="4" w:space="0" w:color="000000"/>
              <w:bottom w:val="single" w:sz="4" w:space="0" w:color="000000"/>
              <w:right w:val="single" w:sz="4" w:space="0" w:color="000000"/>
            </w:tcBorders>
          </w:tcPr>
          <w:p w14:paraId="14E82A96"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97" w14:textId="77777777" w:rsidR="00931CA2" w:rsidRDefault="00931CA2">
            <w:pPr>
              <w:pStyle w:val="Compact"/>
            </w:pPr>
          </w:p>
        </w:tc>
        <w:tc>
          <w:tcPr>
            <w:tcW w:w="2640" w:type="dxa"/>
            <w:tcBorders>
              <w:top w:val="single" w:sz="4" w:space="0" w:color="000000"/>
              <w:left w:val="single" w:sz="4" w:space="0" w:color="000000"/>
              <w:bottom w:val="single" w:sz="4" w:space="0" w:color="000000"/>
              <w:right w:val="single" w:sz="4" w:space="0" w:color="000000"/>
            </w:tcBorders>
          </w:tcPr>
          <w:p w14:paraId="14E82A98" w14:textId="77777777" w:rsidR="00931CA2" w:rsidRDefault="00931CA2">
            <w:pPr>
              <w:pStyle w:val="Compact"/>
            </w:pPr>
          </w:p>
        </w:tc>
      </w:tr>
    </w:tbl>
    <w:p w14:paraId="14E82A9A" w14:textId="77777777" w:rsidR="00931CA2" w:rsidRDefault="002E4938">
      <w:bookmarkStart w:id="27" w:name="action-plan"/>
      <w:r>
        <w:rPr>
          <w:noProof/>
        </w:rPr>
        <mc:AlternateContent>
          <mc:Choice Requires="wps">
            <w:drawing>
              <wp:inline distT="0" distB="0" distL="0" distR="0" wp14:anchorId="14E82ABD" wp14:editId="14E82ABE">
                <wp:extent cx="635" cy="19050"/>
                <wp:effectExtent l="0" t="0" r="0" b="0"/>
                <wp:docPr id="17" name="Rectangle 17"/>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FFFFFF"/>
                        </a:solidFill>
                        <a:ln w="0">
                          <a:solidFill>
                            <a:srgbClr val="000000"/>
                          </a:solidFill>
                        </a:ln>
                      </wps:spPr>
                      <wps:bodyPr/>
                    </wps:wsp>
                  </a:graphicData>
                </a:graphic>
              </wp:inline>
            </w:drawing>
          </mc:Choice>
          <mc:Fallback>
            <w:pict>
              <v:rect w14:anchorId="13DAA1ED" id="Rectangle 17" o:spid="_x0000_s1026" style="width:.0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" strokeweight="0">
                <w10:anchorlock/>
              </v:rect>
            </w:pict>
          </mc:Fallback>
        </mc:AlternateContent>
      </w:r>
      <w:bookmarkEnd w:id="27"/>
    </w:p>
    <w:p w14:paraId="14E82A9B" w14:textId="77777777" w:rsidR="00931CA2" w:rsidRDefault="002E4938">
      <w:pPr>
        <w:pStyle w:val="Heading1"/>
      </w:pPr>
      <w:bookmarkStart w:id="28" w:name="__RefHeading___Toc1876_2729739456"/>
      <w:bookmarkEnd w:id="28"/>
      <w:r>
        <w:t>Closing Reflection for Leadership</w:t>
      </w:r>
    </w:p>
    <w:p w14:paraId="14E82A9C" w14:textId="77777777" w:rsidR="00931CA2" w:rsidRDefault="002E4938">
      <w:pPr>
        <w:pStyle w:val="FirstParagraph"/>
      </w:pPr>
      <w:r>
        <w:t>Before ending this meeting, consider praying through Ephesians 6:16 together as a leadership team, each naming one specific fiery dart currently facing this congregation as a whole — a specific temptation, discouragement, or false belief spreading among members — and asking God together for the shield of faith to be raised, corporately, against exactly that.</w:t>
      </w:r>
    </w:p>
    <w:p w14:paraId="14E82A9D" w14:textId="77777777" w:rsidR="00931CA2" w:rsidRDefault="002E4938">
      <w:pPr>
        <w:pStyle w:val="BodyText"/>
      </w:pPr>
      <w:r>
        <w:t xml:space="preserve">Two things are worth holding in mind as the team prays. The first is that the shield is God’s before it is ours: “Do not be afraid, Abram. I am your shield” (Genesis 15:1). Psalm 91:4 piles the imagery still higher — “He shall cover you with His feathers, and under His wings you shall take refuge; His truth shall be your shield and buckler” — using two Hebrew shield-words together. The first is </w:t>
      </w:r>
      <w:proofErr w:type="spellStart"/>
      <w:r>
        <w:rPr>
          <w:rtl/>
        </w:rPr>
        <w:t>צִנ</w:t>
      </w:r>
      <w:proofErr w:type="spellEnd"/>
      <w:r>
        <w:rPr>
          <w:rtl/>
        </w:rPr>
        <w:t>ָּה</w:t>
      </w:r>
      <w:r>
        <w:t xml:space="preserve">, which Brown-Driver-Briggs defines as a “large shield (covering whole body),” larger than </w:t>
      </w:r>
      <w:proofErr w:type="spellStart"/>
      <w:r>
        <w:rPr>
          <w:rtl/>
        </w:rPr>
        <w:t>מָגֵן</w:t>
      </w:r>
      <w:proofErr w:type="spellEnd"/>
      <w:r>
        <w:t>.</w:t>
      </w:r>
      <w:r>
        <w:rPr>
          <w:rStyle w:val="FootnoteReference"/>
        </w:rPr>
        <w:footnoteReference w:id="16"/>
      </w:r>
      <w:r>
        <w:t xml:space="preserve"> The second is </w:t>
      </w:r>
      <w:proofErr w:type="spellStart"/>
      <w:r>
        <w:rPr>
          <w:rtl/>
        </w:rPr>
        <w:t>סֹחֵרָה</w:t>
      </w:r>
      <w:proofErr w:type="spellEnd"/>
      <w:r>
        <w:t xml:space="preserve">, which BDB gives simply as “buckler,” without specifying size or shape; an earlier version of this series called it a smaller round buckler, which goes beyond what the </w:t>
      </w:r>
      <w:r>
        <w:lastRenderedPageBreak/>
        <w:t>lexicon says.</w:t>
      </w:r>
      <w:r>
        <w:rPr>
          <w:rStyle w:val="FootnoteReference"/>
        </w:rPr>
        <w:footnoteReference w:id="17"/>
      </w:r>
      <w:r>
        <w:t xml:space="preserve"> What does the shielding, the psalm says plainly, is God’s own truth and faithfulness.</w:t>
      </w:r>
    </w:p>
    <w:p w14:paraId="14E82A9E" w14:textId="77777777" w:rsidR="00931CA2" w:rsidRDefault="002E4938">
      <w:pPr>
        <w:pStyle w:val="BlockText"/>
      </w:pPr>
      <w:r>
        <w:rPr>
          <w:b/>
          <w:bCs/>
        </w:rPr>
        <w:t>Psalm 91:4 (NKJV):</w:t>
      </w:r>
      <w:r>
        <w:t xml:space="preserve"> “He shall cover you with His feathers, and under His wings you shall take refuge; His truth shall be your shield and buckler.”</w:t>
      </w:r>
    </w:p>
    <w:p w14:paraId="14E82A9F" w14:textId="77777777" w:rsidR="00931CA2" w:rsidRDefault="002E4938">
      <w:pPr>
        <w:pStyle w:val="BlockText"/>
      </w:pPr>
      <w:r>
        <w:rPr>
          <w:b/>
          <w:bCs/>
        </w:rPr>
        <w:t>Summary</w:t>
      </w:r>
      <w:r>
        <w:rPr>
          <w:b/>
          <w:bCs/>
        </w:rPr>
        <w:t>:</w:t>
      </w:r>
      <w:r>
        <w:t xml:space="preserve"> The psalm piles up two Hebrew shield-words together with the image of a bird sheltering its young — what </w:t>
      </w:r>
      <w:proofErr w:type="gramStart"/>
      <w:r>
        <w:t>actually does</w:t>
      </w:r>
      <w:proofErr w:type="gramEnd"/>
      <w:r>
        <w:t xml:space="preserve"> the shielding, the text says plainly, is God’s own truth and faithfulness.</w:t>
      </w:r>
    </w:p>
    <w:p w14:paraId="14E82AA0" w14:textId="77777777" w:rsidR="00931CA2" w:rsidRDefault="002E4938">
      <w:pPr>
        <w:pStyle w:val="FirstParagraph"/>
      </w:pPr>
      <w:r>
        <w:t>The second is that this team is not being asked to manufacture faith for the congregation, or for itself. It is being asked to lift a shield it already has, together, and to make sure the ordinary means by which God strengthens it — Scripture preached and known, prayer, honest testimony, and members who do not fight alone — are actually available in this church, on the calendar, with names attached.</w:t>
      </w:r>
    </w:p>
    <w:p w14:paraId="14E82AA1" w14:textId="77777777" w:rsidR="00931CA2" w:rsidRDefault="002E4938">
      <w:bookmarkStart w:id="29" w:name="closing-reflection-for-leadership"/>
      <w:r>
        <w:rPr>
          <w:noProof/>
        </w:rPr>
        <mc:AlternateContent>
          <mc:Choice Requires="wps">
            <w:drawing>
              <wp:inline distT="0" distB="0" distL="0" distR="0" wp14:anchorId="14E82ABF" wp14:editId="14E82AC0">
                <wp:extent cx="5943600" cy="19050"/>
                <wp:effectExtent l="0" t="0" r="0" b="0"/>
                <wp:docPr id="19" name="Rectangle 19"/>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2E4DF366" id="Rectangle 19"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29"/>
    </w:p>
    <w:p w14:paraId="14E82AA2" w14:textId="77777777" w:rsidR="00931CA2" w:rsidRDefault="002E4938">
      <w:pPr>
        <w:pStyle w:val="Heading1"/>
      </w:pPr>
      <w:bookmarkStart w:id="30" w:name="__RefHeading___Toc1878_2729739456"/>
      <w:bookmarkStart w:id="31" w:name="sources-consulted"/>
      <w:bookmarkEnd w:id="30"/>
      <w:r>
        <w:t>Sources Consulted</w:t>
      </w:r>
    </w:p>
    <w:p w14:paraId="14E82AA3" w14:textId="77777777" w:rsidR="00931CA2" w:rsidRDefault="002E4938">
      <w:pPr>
        <w:pStyle w:val="Heading2"/>
      </w:pPr>
      <w:bookmarkStart w:id="32" w:name="__RefHeading___Toc1880_2729739456"/>
      <w:bookmarkStart w:id="33" w:name="Xdd2b218012a132134e2ab7374088f4c0be2575d"/>
      <w:bookmarkEnd w:id="32"/>
      <w:r>
        <w:t>Directly Retrieved and Verified This Session</w:t>
      </w:r>
    </w:p>
    <w:p w14:paraId="14E82AA4" w14:textId="77777777" w:rsidR="00931CA2" w:rsidRDefault="002E4938">
      <w:pPr>
        <w:pStyle w:val="FirstParagraph"/>
      </w:pPr>
      <w:r>
        <w:t xml:space="preserve">G. Abbott-Smith, </w:t>
      </w:r>
      <w:r>
        <w:rPr>
          <w:i/>
          <w:iCs/>
        </w:rPr>
        <w:t>A Manual Greek Lexicon of the New Testament</w:t>
      </w:r>
      <w:r>
        <w:t xml:space="preserve">, entries for </w:t>
      </w:r>
      <w:proofErr w:type="spellStart"/>
      <w:r>
        <w:t>θυρεός</w:t>
      </w:r>
      <w:proofErr w:type="spellEnd"/>
      <w:r>
        <w:t>, σβ</w:t>
      </w:r>
      <w:proofErr w:type="spellStart"/>
      <w:r>
        <w:t>έννυμι</w:t>
      </w:r>
      <w:proofErr w:type="spellEnd"/>
      <w:r>
        <w:t xml:space="preserve">, </w:t>
      </w:r>
      <w:proofErr w:type="spellStart"/>
      <w:r>
        <w:t>ῥῆ</w:t>
      </w:r>
      <w:r>
        <w:t>μ</w:t>
      </w:r>
      <w:proofErr w:type="spellEnd"/>
      <w:r>
        <w:t xml:space="preserve">α, </w:t>
      </w:r>
      <w:proofErr w:type="spellStart"/>
      <w:r>
        <w:t>λόγος</w:t>
      </w:r>
      <w:proofErr w:type="spellEnd"/>
      <w:r>
        <w:t xml:space="preserve">, </w:t>
      </w:r>
      <w:proofErr w:type="spellStart"/>
      <w:r>
        <w:t>δοκίμιον</w:t>
      </w:r>
      <w:proofErr w:type="spellEnd"/>
      <w:r>
        <w:t xml:space="preserve">, </w:t>
      </w:r>
      <w:proofErr w:type="spellStart"/>
      <w:r>
        <w:t>μάχ</w:t>
      </w:r>
      <w:proofErr w:type="spellEnd"/>
      <w:r>
        <w:t xml:space="preserve">αιρα, and </w:t>
      </w:r>
      <w:proofErr w:type="spellStart"/>
      <w:r>
        <w:t>νίκη</w:t>
      </w:r>
      <w:proofErr w:type="spellEnd"/>
      <w:r>
        <w:t>, consulted in the digital edition hosted at studylight.org.</w:t>
      </w:r>
    </w:p>
    <w:p w14:paraId="14E82AA5" w14:textId="77777777" w:rsidR="00931CA2" w:rsidRDefault="002E4938">
      <w:pPr>
        <w:pStyle w:val="BodyText"/>
      </w:pPr>
      <w:r>
        <w:rPr>
          <w:i/>
          <w:iCs/>
        </w:rPr>
        <w:t xml:space="preserve">A </w:t>
      </w:r>
      <w:proofErr w:type="gramStart"/>
      <w:r>
        <w:rPr>
          <w:i/>
          <w:iCs/>
        </w:rPr>
        <w:t>Greek-English</w:t>
      </w:r>
      <w:proofErr w:type="gramEnd"/>
      <w:r>
        <w:rPr>
          <w:i/>
          <w:iCs/>
        </w:rPr>
        <w:t xml:space="preserve"> Lexicon</w:t>
      </w:r>
      <w:r>
        <w:t xml:space="preserve">, ed. Henry George Liddell, Robert Scott, and Henry Stuart Jones, entries for </w:t>
      </w:r>
      <w:proofErr w:type="spellStart"/>
      <w:r>
        <w:t>θυρεός</w:t>
      </w:r>
      <w:proofErr w:type="spellEnd"/>
      <w:r>
        <w:t xml:space="preserve"> and </w:t>
      </w:r>
      <w:proofErr w:type="spellStart"/>
      <w:r>
        <w:t>μάχ</w:t>
      </w:r>
      <w:proofErr w:type="spellEnd"/>
      <w:r>
        <w:t>αιρα, consulted in the digital editions hosted at lsj.gr and studylight.org.</w:t>
      </w:r>
    </w:p>
    <w:p w14:paraId="14E82AA6" w14:textId="77777777" w:rsidR="00931CA2" w:rsidRDefault="002E4938">
      <w:pPr>
        <w:pStyle w:val="BodyText"/>
      </w:pPr>
      <w:r>
        <w:rPr>
          <w:i/>
          <w:iCs/>
        </w:rPr>
        <w:t xml:space="preserve">Mounce Concise </w:t>
      </w:r>
      <w:proofErr w:type="gramStart"/>
      <w:r>
        <w:rPr>
          <w:i/>
          <w:iCs/>
        </w:rPr>
        <w:t>Greek-English</w:t>
      </w:r>
      <w:proofErr w:type="gramEnd"/>
      <w:r>
        <w:rPr>
          <w:i/>
          <w:iCs/>
        </w:rPr>
        <w:t xml:space="preserve"> Dictionary</w:t>
      </w:r>
      <w:r>
        <w:t xml:space="preserve">, entries for </w:t>
      </w:r>
      <w:r>
        <w:t>ὑ</w:t>
      </w:r>
      <w:r>
        <w:t>π</w:t>
      </w:r>
      <w:proofErr w:type="spellStart"/>
      <w:r>
        <w:t>όστ</w:t>
      </w:r>
      <w:proofErr w:type="spellEnd"/>
      <w:r>
        <w:t xml:space="preserve">ασις, </w:t>
      </w:r>
      <w:proofErr w:type="spellStart"/>
      <w:r>
        <w:t>ῥῆ</w:t>
      </w:r>
      <w:r>
        <w:t>μ</w:t>
      </w:r>
      <w:proofErr w:type="spellEnd"/>
      <w:r>
        <w:t xml:space="preserve">α, and </w:t>
      </w:r>
      <w:proofErr w:type="spellStart"/>
      <w:r>
        <w:t>λόγος</w:t>
      </w:r>
      <w:proofErr w:type="spellEnd"/>
      <w:r>
        <w:t>, consulted in the digital edition at billmounce.com. Cited here by title and Greek headword rather than by deep link.</w:t>
      </w:r>
    </w:p>
    <w:p w14:paraId="14E82AA7" w14:textId="77777777" w:rsidR="00931CA2" w:rsidRDefault="002E4938">
      <w:pPr>
        <w:pStyle w:val="BodyText"/>
      </w:pPr>
      <w:r>
        <w:t xml:space="preserve">Joseph Henry Thayer, </w:t>
      </w:r>
      <w:r>
        <w:rPr>
          <w:i/>
          <w:iCs/>
        </w:rPr>
        <w:t xml:space="preserve">A </w:t>
      </w:r>
      <w:proofErr w:type="gramStart"/>
      <w:r>
        <w:rPr>
          <w:i/>
          <w:iCs/>
        </w:rPr>
        <w:t>Greek-English</w:t>
      </w:r>
      <w:proofErr w:type="gramEnd"/>
      <w:r>
        <w:rPr>
          <w:i/>
          <w:iCs/>
        </w:rPr>
        <w:t xml:space="preserve"> Lexicon of the New Testament</w:t>
      </w:r>
      <w:r>
        <w:t xml:space="preserve">, entry for </w:t>
      </w:r>
      <w:proofErr w:type="spellStart"/>
      <w:r>
        <w:t>ἔ</w:t>
      </w:r>
      <w:r>
        <w:t>λεγχος</w:t>
      </w:r>
      <w:proofErr w:type="spellEnd"/>
      <w:r>
        <w:t>, consulted in the digital edition at biblehub.com. Thayer’s lexicon dates from the late nineteenth century and predates the papyri discoveries that reshaped New Testament lexicography; it is used here only where no more recent freely accessible lexicon covers the term.</w:t>
      </w:r>
    </w:p>
    <w:p w14:paraId="14E82AA8" w14:textId="77777777" w:rsidR="00931CA2" w:rsidRDefault="002E4938">
      <w:pPr>
        <w:pStyle w:val="BodyText"/>
      </w:pPr>
      <w:r>
        <w:t xml:space="preserve">Francis Brown, S. R. Driver, and Charles A. Briggs, </w:t>
      </w:r>
      <w:r>
        <w:rPr>
          <w:i/>
          <w:iCs/>
        </w:rPr>
        <w:t>A Hebrew and English Lexicon of the Old Testament</w:t>
      </w:r>
      <w:r>
        <w:t xml:space="preserve">, entries for </w:t>
      </w:r>
      <w:proofErr w:type="spellStart"/>
      <w:r>
        <w:rPr>
          <w:rtl/>
        </w:rPr>
        <w:t>מָגֵן</w:t>
      </w:r>
      <w:proofErr w:type="spellEnd"/>
      <w:r>
        <w:rPr>
          <w:rtl/>
        </w:rPr>
        <w:t xml:space="preserve">, </w:t>
      </w:r>
      <w:proofErr w:type="spellStart"/>
      <w:r>
        <w:rPr>
          <w:rtl/>
        </w:rPr>
        <w:t>צִנ</w:t>
      </w:r>
      <w:proofErr w:type="spellEnd"/>
      <w:r>
        <w:rPr>
          <w:rtl/>
        </w:rPr>
        <w:t>ָּה</w:t>
      </w:r>
      <w:r>
        <w:t xml:space="preserve">, and </w:t>
      </w:r>
      <w:proofErr w:type="spellStart"/>
      <w:r>
        <w:rPr>
          <w:rtl/>
        </w:rPr>
        <w:t>סֹחֵרָה</w:t>
      </w:r>
      <w:proofErr w:type="spellEnd"/>
      <w:r>
        <w:t>, consulted in the digital editions hosted at studylight.org and biblehub.com.</w:t>
      </w:r>
    </w:p>
    <w:p w14:paraId="14E82AA9" w14:textId="77777777" w:rsidR="00931CA2" w:rsidRDefault="002E4938">
      <w:pPr>
        <w:pStyle w:val="BodyText"/>
      </w:pPr>
      <w:r>
        <w:t xml:space="preserve">Albert Barnes, </w:t>
      </w:r>
      <w:r>
        <w:rPr>
          <w:i/>
          <w:iCs/>
        </w:rPr>
        <w:t>Notes on the New Testament</w:t>
      </w:r>
      <w:r>
        <w:t>, on Ephesians 6:14 and 6:16, consulted at biblehub.com.</w:t>
      </w:r>
    </w:p>
    <w:p w14:paraId="14E82AAA" w14:textId="77777777" w:rsidR="00931CA2" w:rsidRDefault="002E4938">
      <w:pPr>
        <w:pStyle w:val="BodyText"/>
      </w:pPr>
      <w:r>
        <w:lastRenderedPageBreak/>
        <w:t>Greek text and morphological parsing of Ephesians 6:10, 6:13, 6:16, 6:19, and 5:26, and the Nestle and Byzantine readings of Romans 10:17, consulted in the interlinear and parallel-Greek pages at biblehub.com.</w:t>
      </w:r>
    </w:p>
    <w:p w14:paraId="14E82AAB" w14:textId="77777777" w:rsidR="00931CA2" w:rsidRDefault="002E4938">
      <w:pPr>
        <w:pStyle w:val="BodyText"/>
      </w:pPr>
      <w:r>
        <w:t>New King James Version Scripture text for all passages quoted, verified at biblehub.com and biblegateway.com.</w:t>
      </w:r>
    </w:p>
    <w:p w14:paraId="14E82AAC" w14:textId="77777777" w:rsidR="00931CA2" w:rsidRDefault="002E4938">
      <w:pPr>
        <w:pStyle w:val="BodyText"/>
      </w:pPr>
      <w:r>
        <w:rPr>
          <w:i/>
          <w:iCs/>
        </w:rPr>
        <w:t>The Shield of Faith: A Deep Study for Church Leadership</w:t>
      </w:r>
      <w:r>
        <w:t xml:space="preserve"> (James King, Swamp Mennonite Church), the companion document this guide applies. All section numbers cited in this guide refer to that study.</w:t>
      </w:r>
      <w:bookmarkEnd w:id="31"/>
      <w:bookmarkEnd w:id="33"/>
    </w:p>
    <w:sectPr w:rsidR="00931CA2">
      <w:pgSz w:w="12240" w:h="15840"/>
      <w:pgMar w:top="1440" w:right="1440" w:bottom="1440" w:left="1440"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2F906" w14:textId="77777777" w:rsidR="002E4938" w:rsidRDefault="002E4938">
      <w:pPr>
        <w:spacing w:after="0" w:line="240" w:lineRule="auto"/>
      </w:pPr>
      <w:r>
        <w:separator/>
      </w:r>
    </w:p>
  </w:endnote>
  <w:endnote w:type="continuationSeparator" w:id="0">
    <w:p w14:paraId="4426F399" w14:textId="77777777" w:rsidR="002E4938" w:rsidRDefault="002E4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7E721" w14:textId="77777777" w:rsidR="002E4938" w:rsidRDefault="002E4938">
      <w:pPr>
        <w:rPr>
          <w:sz w:val="12"/>
        </w:rPr>
      </w:pPr>
      <w:r>
        <w:separator/>
      </w:r>
    </w:p>
  </w:footnote>
  <w:footnote w:type="continuationSeparator" w:id="0">
    <w:p w14:paraId="33895650" w14:textId="77777777" w:rsidR="002E4938" w:rsidRDefault="002E4938">
      <w:pPr>
        <w:rPr>
          <w:sz w:val="12"/>
        </w:rPr>
      </w:pPr>
      <w:r>
        <w:continuationSeparator/>
      </w:r>
    </w:p>
  </w:footnote>
  <w:footnote w:id="1">
    <w:p w14:paraId="14E82AC3" w14:textId="77777777" w:rsidR="00931CA2" w:rsidRDefault="002E4938">
      <w:pPr>
        <w:pStyle w:val="FootnoteText"/>
      </w:pPr>
      <w:r>
        <w:rPr>
          <w:rStyle w:val="FootnoteCharacters"/>
        </w:rPr>
        <w:footnoteRef/>
      </w:r>
      <w:r>
        <w:t xml:space="preserve"> All Scripture quotations in this guide are from the New King James Version. Text verified against the NKJV editions hosted at biblehub.com and biblegateway.com.</w:t>
      </w:r>
    </w:p>
  </w:footnote>
  <w:footnote w:id="2">
    <w:p w14:paraId="14E82AC4" w14:textId="77777777" w:rsidR="00931CA2" w:rsidRDefault="002E4938">
      <w:pPr>
        <w:pStyle w:val="FootnoteText"/>
      </w:pPr>
      <w:r>
        <w:rPr>
          <w:rStyle w:val="FootnoteCharacters"/>
        </w:rPr>
        <w:footnoteRef/>
      </w:r>
      <w:r>
        <w:t xml:space="preserve"> Albert Barnes, </w:t>
      </w:r>
      <w:r>
        <w:rPr>
          <w:i/>
          <w:iCs/>
        </w:rPr>
        <w:t>Notes on the New Testament</w:t>
      </w:r>
      <w:r>
        <w:t>, on Ephesians 6:16, digital edition at biblehub.com. Greek parsing from the interlinear at biblehub.com: πεπ</w:t>
      </w:r>
      <w:proofErr w:type="spellStart"/>
      <w:r>
        <w:t>υρωμέν</w:t>
      </w:r>
      <w:proofErr w:type="spellEnd"/>
      <w:r>
        <w:t>α is a perfect participle middle/passive, accusative neuter plural, from π</w:t>
      </w:r>
      <w:proofErr w:type="spellStart"/>
      <w:r>
        <w:t>υρόω</w:t>
      </w:r>
      <w:proofErr w:type="spellEnd"/>
      <w:r>
        <w:t>; β</w:t>
      </w:r>
      <w:proofErr w:type="spellStart"/>
      <w:r>
        <w:t>έλη</w:t>
      </w:r>
      <w:proofErr w:type="spellEnd"/>
      <w:r>
        <w:t xml:space="preserve"> is a noun, accusative neuter plural.</w:t>
      </w:r>
    </w:p>
  </w:footnote>
  <w:footnote w:id="3">
    <w:p w14:paraId="14E82AC5" w14:textId="77777777" w:rsidR="00931CA2" w:rsidRDefault="002E4938">
      <w:pPr>
        <w:pStyle w:val="FootnoteText"/>
      </w:pPr>
      <w:r>
        <w:rPr>
          <w:rStyle w:val="FootnoteCharacters"/>
        </w:rPr>
        <w:footnoteRef/>
      </w:r>
      <w:r>
        <w:t xml:space="preserve"> G. Abbott-Smith, </w:t>
      </w:r>
      <w:r>
        <w:rPr>
          <w:i/>
          <w:iCs/>
        </w:rPr>
        <w:t>A Manual Greek Lexicon of the New Testament</w:t>
      </w:r>
      <w:r>
        <w:t xml:space="preserve">, </w:t>
      </w:r>
      <w:proofErr w:type="spellStart"/>
      <w:r>
        <w:t>s.v.</w:t>
      </w:r>
      <w:proofErr w:type="spellEnd"/>
      <w:r>
        <w:t> σβ</w:t>
      </w:r>
      <w:proofErr w:type="spellStart"/>
      <w:r>
        <w:t>έννυμι</w:t>
      </w:r>
      <w:proofErr w:type="spellEnd"/>
      <w:r>
        <w:t xml:space="preserve">, digital edition at studylight.org, which lists Matthew 12:20, Ephesians 6:16, and Hebrews 11:34, and notes a metaphorical sense “to suppress, stifle” at 1 Thessalonians 5:19. Compare Liddell, Scott, and Jones, </w:t>
      </w:r>
      <w:r>
        <w:rPr>
          <w:i/>
          <w:iCs/>
        </w:rPr>
        <w:t xml:space="preserve">A </w:t>
      </w:r>
      <w:proofErr w:type="gramStart"/>
      <w:r>
        <w:rPr>
          <w:i/>
          <w:iCs/>
        </w:rPr>
        <w:t>Greek-English</w:t>
      </w:r>
      <w:proofErr w:type="gramEnd"/>
      <w:r>
        <w:rPr>
          <w:i/>
          <w:iCs/>
        </w:rPr>
        <w:t xml:space="preserve"> Lexicon</w:t>
      </w:r>
      <w:r>
        <w:t xml:space="preserve">, </w:t>
      </w:r>
      <w:proofErr w:type="spellStart"/>
      <w:r>
        <w:t>s.v.</w:t>
      </w:r>
      <w:proofErr w:type="spellEnd"/>
      <w:r>
        <w:t>, “quench, put out,” and figuratively “quench, quell, check.”</w:t>
      </w:r>
    </w:p>
  </w:footnote>
  <w:footnote w:id="4">
    <w:p w14:paraId="14E82AC6" w14:textId="77777777" w:rsidR="00931CA2" w:rsidRDefault="002E4938">
      <w:pPr>
        <w:pStyle w:val="FootnoteText"/>
      </w:pPr>
      <w:r>
        <w:rPr>
          <w:rStyle w:val="FootnoteCharacters"/>
        </w:rPr>
        <w:footnoteRef/>
      </w:r>
      <w:r>
        <w:t xml:space="preserve"> </w:t>
      </w:r>
      <w:r>
        <w:rPr>
          <w:i/>
          <w:iCs/>
        </w:rPr>
        <w:t xml:space="preserve">Mounce Concise </w:t>
      </w:r>
      <w:proofErr w:type="gramStart"/>
      <w:r>
        <w:rPr>
          <w:i/>
          <w:iCs/>
        </w:rPr>
        <w:t>Greek-English</w:t>
      </w:r>
      <w:proofErr w:type="gramEnd"/>
      <w:r>
        <w:rPr>
          <w:i/>
          <w:iCs/>
        </w:rPr>
        <w:t xml:space="preserve"> Dictionary</w:t>
      </w:r>
      <w:r>
        <w:t xml:space="preserve">, </w:t>
      </w:r>
      <w:proofErr w:type="spellStart"/>
      <w:r>
        <w:t>s.v.</w:t>
      </w:r>
      <w:proofErr w:type="spellEnd"/>
      <w:r>
        <w:t> </w:t>
      </w:r>
      <w:r>
        <w:t>ὑ</w:t>
      </w:r>
      <w:r>
        <w:t>π</w:t>
      </w:r>
      <w:proofErr w:type="spellStart"/>
      <w:r>
        <w:t>όστ</w:t>
      </w:r>
      <w:proofErr w:type="spellEnd"/>
      <w:r>
        <w:t xml:space="preserve">ασις, digital edition, billmounce.com. See further Joseph Henry Thayer, </w:t>
      </w:r>
      <w:r>
        <w:rPr>
          <w:i/>
          <w:iCs/>
        </w:rPr>
        <w:t xml:space="preserve">A </w:t>
      </w:r>
      <w:proofErr w:type="gramStart"/>
      <w:r>
        <w:rPr>
          <w:i/>
          <w:iCs/>
        </w:rPr>
        <w:t>Greek-English</w:t>
      </w:r>
      <w:proofErr w:type="gramEnd"/>
      <w:r>
        <w:rPr>
          <w:i/>
          <w:iCs/>
        </w:rPr>
        <w:t xml:space="preserve"> Lexicon of the New Testament</w:t>
      </w:r>
      <w:r>
        <w:t xml:space="preserve">, </w:t>
      </w:r>
      <w:proofErr w:type="spellStart"/>
      <w:r>
        <w:t>s.v.</w:t>
      </w:r>
      <w:proofErr w:type="spellEnd"/>
      <w:r>
        <w:t>, “a setting or placing under; thing put under, substructure, foundation,” and, for the personal senses, “confidence, firm trust, assurance,” listing Hebrews 11:1 among its examples; the caution about Thayer’s age noted in “Sources Consulted” applies.</w:t>
      </w:r>
    </w:p>
  </w:footnote>
  <w:footnote w:id="5">
    <w:p w14:paraId="14E82AC7" w14:textId="77777777" w:rsidR="00931CA2" w:rsidRDefault="002E4938">
      <w:pPr>
        <w:pStyle w:val="FootnoteText"/>
      </w:pPr>
      <w:r>
        <w:rPr>
          <w:rStyle w:val="FootnoteCharacters"/>
        </w:rPr>
        <w:footnoteRef/>
      </w:r>
      <w:r>
        <w:t xml:space="preserve"> Thayer, </w:t>
      </w:r>
      <w:proofErr w:type="gramStart"/>
      <w:r>
        <w:rPr>
          <w:i/>
          <w:iCs/>
        </w:rPr>
        <w:t>Greek-English</w:t>
      </w:r>
      <w:proofErr w:type="gramEnd"/>
      <w:r>
        <w:rPr>
          <w:i/>
          <w:iCs/>
        </w:rPr>
        <w:t xml:space="preserve"> Lexicon</w:t>
      </w:r>
      <w:r>
        <w:t xml:space="preserve">, </w:t>
      </w:r>
      <w:proofErr w:type="spellStart"/>
      <w:r>
        <w:t>s.v.</w:t>
      </w:r>
      <w:proofErr w:type="spellEnd"/>
      <w:r>
        <w:t> </w:t>
      </w:r>
      <w:proofErr w:type="spellStart"/>
      <w:r>
        <w:t>ἔ</w:t>
      </w:r>
      <w:r>
        <w:t>λεγχος</w:t>
      </w:r>
      <w:proofErr w:type="spellEnd"/>
      <w:r>
        <w:t xml:space="preserve">, digital edition at biblehub.com. The Greek of Hebrews 11:1 runs </w:t>
      </w:r>
      <w:r>
        <w:t>ὑ</w:t>
      </w:r>
      <w:r>
        <w:t>π</w:t>
      </w:r>
      <w:proofErr w:type="spellStart"/>
      <w:r>
        <w:t>όστ</w:t>
      </w:r>
      <w:proofErr w:type="spellEnd"/>
      <w:r>
        <w:t>ασις πρα</w:t>
      </w:r>
      <w:proofErr w:type="spellStart"/>
      <w:r>
        <w:t>γμάτων</w:t>
      </w:r>
      <w:proofErr w:type="spellEnd"/>
      <w:r>
        <w:t xml:space="preserve">… </w:t>
      </w:r>
      <w:proofErr w:type="spellStart"/>
      <w:r>
        <w:t>ἔ</w:t>
      </w:r>
      <w:r>
        <w:t>λεγχος</w:t>
      </w:r>
      <w:proofErr w:type="spellEnd"/>
      <w:r>
        <w:t xml:space="preserve"> </w:t>
      </w:r>
      <w:proofErr w:type="spellStart"/>
      <w:r>
        <w:t>ο</w:t>
      </w:r>
      <w:r>
        <w:t>ὐ</w:t>
      </w:r>
      <w:proofErr w:type="spellEnd"/>
      <w:r>
        <w:t xml:space="preserve"> β</w:t>
      </w:r>
      <w:proofErr w:type="spellStart"/>
      <w:r>
        <w:t>λε</w:t>
      </w:r>
      <w:proofErr w:type="spellEnd"/>
      <w:r>
        <w:t>πομένων — literally, “a standing-under of things hoped for, a proof of things not seen.” BDAG would be the preferable authority for both nouns and was not available for this guide; see “Sources Consulted,” third tier.</w:t>
      </w:r>
    </w:p>
  </w:footnote>
  <w:footnote w:id="6">
    <w:p w14:paraId="14E82AC8" w14:textId="77777777" w:rsidR="00931CA2" w:rsidRDefault="002E4938">
      <w:pPr>
        <w:pStyle w:val="FootnoteText"/>
      </w:pPr>
      <w:r>
        <w:rPr>
          <w:rStyle w:val="FootnoteCharacters"/>
        </w:rPr>
        <w:footnoteRef/>
      </w:r>
      <w:r>
        <w:t xml:space="preserve"> Abbott-Smith, </w:t>
      </w:r>
      <w:r>
        <w:rPr>
          <w:i/>
          <w:iCs/>
        </w:rPr>
        <w:t>Manual Greek Lexicon</w:t>
      </w:r>
      <w:r>
        <w:t xml:space="preserve">, </w:t>
      </w:r>
      <w:proofErr w:type="spellStart"/>
      <w:r>
        <w:t>s.v.</w:t>
      </w:r>
      <w:proofErr w:type="spellEnd"/>
      <w:r>
        <w:t> </w:t>
      </w:r>
      <w:proofErr w:type="spellStart"/>
      <w:r>
        <w:t>δοκίμιον</w:t>
      </w:r>
      <w:proofErr w:type="spellEnd"/>
      <w:r>
        <w:t xml:space="preserve">, digital edition at studylight.org, which defines it as “a test” and notes that it is usually regarded as a variant form of </w:t>
      </w:r>
      <w:proofErr w:type="spellStart"/>
      <w:r>
        <w:t>δοκιμε</w:t>
      </w:r>
      <w:r>
        <w:t>ῖ</w:t>
      </w:r>
      <w:r>
        <w:t>ον</w:t>
      </w:r>
      <w:proofErr w:type="spellEnd"/>
      <w:r>
        <w:t>. The papyrus sense “standard gold” is associated with Moulton and Milligan and was encountered through the aggregated lexicon page at studylight.org rather than in the printed volume; see “Sources Consulted,” second tier.</w:t>
      </w:r>
    </w:p>
  </w:footnote>
  <w:footnote w:id="7">
    <w:p w14:paraId="14E82AC9" w14:textId="77777777" w:rsidR="00931CA2" w:rsidRDefault="002E4938">
      <w:pPr>
        <w:pStyle w:val="FootnoteText"/>
      </w:pPr>
      <w:r>
        <w:rPr>
          <w:rStyle w:val="FootnoteCharacters"/>
        </w:rPr>
        <w:footnoteRef/>
      </w:r>
      <w:r>
        <w:t xml:space="preserve"> </w:t>
      </w:r>
      <w:r>
        <w:t xml:space="preserve">The verb rendered “have put on” in Galatians 3:27 and “put on” in Romans 13:14 is </w:t>
      </w:r>
      <w:proofErr w:type="spellStart"/>
      <w:r>
        <w:t>ἐ</w:t>
      </w:r>
      <w:r>
        <w:t>νδύω</w:t>
      </w:r>
      <w:proofErr w:type="spellEnd"/>
      <w:r>
        <w:t>, the same verb behind putting on the armor of God (Ephesians 6:11) and “putting on the new man” (Ephesians 4:24). Parsing from the interlinear pages at biblehub.com.</w:t>
      </w:r>
    </w:p>
  </w:footnote>
  <w:footnote w:id="8">
    <w:p w14:paraId="14E82ACA" w14:textId="77777777" w:rsidR="00931CA2" w:rsidRDefault="002E4938">
      <w:pPr>
        <w:pStyle w:val="FootnoteText"/>
      </w:pPr>
      <w:r>
        <w:rPr>
          <w:rStyle w:val="FootnoteCharacters"/>
        </w:rPr>
        <w:footnoteRef/>
      </w:r>
      <w:r>
        <w:t xml:space="preserve"> </w:t>
      </w:r>
      <w:r>
        <w:t>Charles Capps, as quoted in John MacArthur, “Toxic Television: A Biblical Answer to the Prosperity Gospel, Part 1,” sermon transcript, Grace to You (gty.org). MacArthur’s own diagnosis of the underlying theology, in the same message, is that in this system “God is not Lord of all, He can’t work unless we release Him to work… and above all, He has to act in response to human words.” The transcript is carried forward from the companion deep study rather than re-retrieved for this guide; see “Sources Consulted</w:t>
      </w:r>
      <w:r>
        <w:t>,” second tier.</w:t>
      </w:r>
    </w:p>
  </w:footnote>
  <w:footnote w:id="9">
    <w:p w14:paraId="14E82ACB" w14:textId="77777777" w:rsidR="00931CA2" w:rsidRDefault="002E4938">
      <w:pPr>
        <w:pStyle w:val="FootnoteText"/>
      </w:pPr>
      <w:r>
        <w:rPr>
          <w:rStyle w:val="FootnoteCharacters"/>
        </w:rPr>
        <w:footnoteRef/>
      </w:r>
      <w:r>
        <w:t xml:space="preserve"> Brown, Driver, and Briggs, </w:t>
      </w:r>
      <w:r>
        <w:rPr>
          <w:i/>
          <w:iCs/>
        </w:rPr>
        <w:t>A Hebrew and English Lexicon of the Old Testament</w:t>
      </w:r>
      <w:r>
        <w:t xml:space="preserve">, </w:t>
      </w:r>
      <w:proofErr w:type="spellStart"/>
      <w:r>
        <w:t>s.v.</w:t>
      </w:r>
      <w:proofErr w:type="spellEnd"/>
      <w:r>
        <w:t> </w:t>
      </w:r>
      <w:proofErr w:type="spellStart"/>
      <w:r>
        <w:rPr>
          <w:rtl/>
        </w:rPr>
        <w:t>מָגֵן</w:t>
      </w:r>
      <w:proofErr w:type="spellEnd"/>
      <w:r>
        <w:t>, digital edition at studylight.org.</w:t>
      </w:r>
    </w:p>
  </w:footnote>
  <w:footnote w:id="10">
    <w:p w14:paraId="14E82ACC" w14:textId="77777777" w:rsidR="00931CA2" w:rsidRDefault="002E4938">
      <w:pPr>
        <w:pStyle w:val="FootnoteText"/>
      </w:pPr>
      <w:r>
        <w:rPr>
          <w:rStyle w:val="FootnoteCharacters"/>
        </w:rPr>
        <w:footnoteRef/>
      </w:r>
      <w:r>
        <w:t xml:space="preserve"> Abbott-Smith, </w:t>
      </w:r>
      <w:r>
        <w:rPr>
          <w:i/>
          <w:iCs/>
        </w:rPr>
        <w:t>Manual Greek Lexicon</w:t>
      </w:r>
      <w:r>
        <w:t xml:space="preserve">, </w:t>
      </w:r>
      <w:proofErr w:type="spellStart"/>
      <w:r>
        <w:t>s.v.</w:t>
      </w:r>
      <w:proofErr w:type="spellEnd"/>
      <w:r>
        <w:t> </w:t>
      </w:r>
      <w:proofErr w:type="spellStart"/>
      <w:r>
        <w:t>νίκη</w:t>
      </w:r>
      <w:proofErr w:type="spellEnd"/>
      <w:r>
        <w:t>, digital edition at studylight.org: “victory: 1 John 5:4,” with Septuagint occurrences noted at 1 Chronicles 29:11 and frequently in the books of Maccabees.</w:t>
      </w:r>
    </w:p>
  </w:footnote>
  <w:footnote w:id="11">
    <w:p w14:paraId="14E82ACD" w14:textId="77777777" w:rsidR="00931CA2" w:rsidRDefault="002E4938">
      <w:pPr>
        <w:pStyle w:val="FootnoteText"/>
      </w:pPr>
      <w:r>
        <w:rPr>
          <w:rStyle w:val="FootnoteCharacters"/>
        </w:rPr>
        <w:footnoteRef/>
      </w:r>
      <w:r>
        <w:t xml:space="preserve"> </w:t>
      </w:r>
      <w:r>
        <w:t xml:space="preserve">Greek text and parsing from the </w:t>
      </w:r>
      <w:proofErr w:type="spellStart"/>
      <w:r>
        <w:t>interlinears</w:t>
      </w:r>
      <w:proofErr w:type="spellEnd"/>
      <w:r>
        <w:t xml:space="preserve"> at biblehub.com: </w:t>
      </w:r>
      <w:proofErr w:type="spellStart"/>
      <w:r>
        <w:t>ἐ</w:t>
      </w:r>
      <w:r>
        <w:t>νδυν</w:t>
      </w:r>
      <w:proofErr w:type="spellEnd"/>
      <w:r>
        <w:t>αμο</w:t>
      </w:r>
      <w:r>
        <w:t>ῦ</w:t>
      </w:r>
      <w:r>
        <w:t xml:space="preserve">σθε (Ephesians 6:10) </w:t>
      </w:r>
      <w:proofErr w:type="gramStart"/>
      <w:r>
        <w:t>is</w:t>
      </w:r>
      <w:proofErr w:type="gramEnd"/>
      <w:r>
        <w:t xml:space="preserve"> a present imperative middle/passive, second person plural; </w:t>
      </w:r>
      <w:proofErr w:type="spellStart"/>
      <w:r>
        <w:t>ἀ</w:t>
      </w:r>
      <w:r>
        <w:t>ν</w:t>
      </w:r>
      <w:proofErr w:type="spellEnd"/>
      <w:r>
        <w:t xml:space="preserve">αλάβετε (Ephesians 6:13) is an aorist imperative active, second person plural, from </w:t>
      </w:r>
      <w:proofErr w:type="spellStart"/>
      <w:r>
        <w:t>ἀ</w:t>
      </w:r>
      <w:r>
        <w:t>ν</w:t>
      </w:r>
      <w:proofErr w:type="spellEnd"/>
      <w:r>
        <w:t>αλαμβάνω.</w:t>
      </w:r>
    </w:p>
  </w:footnote>
  <w:footnote w:id="12">
    <w:p w14:paraId="14E82ACE" w14:textId="77777777" w:rsidR="00931CA2" w:rsidRDefault="002E4938">
      <w:pPr>
        <w:pStyle w:val="FootnoteText"/>
      </w:pPr>
      <w:r>
        <w:rPr>
          <w:rStyle w:val="FootnoteCharacters"/>
        </w:rPr>
        <w:footnoteRef/>
      </w:r>
      <w:r>
        <w:t xml:space="preserve"> Liddell, Scott, and Jones, </w:t>
      </w:r>
      <w:r>
        <w:rPr>
          <w:i/>
          <w:iCs/>
        </w:rPr>
        <w:t xml:space="preserve">A </w:t>
      </w:r>
      <w:proofErr w:type="gramStart"/>
      <w:r>
        <w:rPr>
          <w:i/>
          <w:iCs/>
        </w:rPr>
        <w:t>Greek-English</w:t>
      </w:r>
      <w:proofErr w:type="gramEnd"/>
      <w:r>
        <w:rPr>
          <w:i/>
          <w:iCs/>
        </w:rPr>
        <w:t xml:space="preserve"> Lexicon</w:t>
      </w:r>
      <w:r>
        <w:t xml:space="preserve">, </w:t>
      </w:r>
      <w:proofErr w:type="spellStart"/>
      <w:r>
        <w:t>s.v.</w:t>
      </w:r>
      <w:proofErr w:type="spellEnd"/>
      <w:r>
        <w:t> </w:t>
      </w:r>
      <w:proofErr w:type="spellStart"/>
      <w:r>
        <w:t>θυρεός</w:t>
      </w:r>
      <w:proofErr w:type="spellEnd"/>
      <w:r>
        <w:t xml:space="preserve">, digital editions at lsj.gr and studylight.org, citing Homer, </w:t>
      </w:r>
      <w:r>
        <w:rPr>
          <w:i/>
          <w:iCs/>
        </w:rPr>
        <w:t>Odyssey</w:t>
      </w:r>
      <w:r>
        <w:t xml:space="preserve"> 9.240, 313 for the door-stone sense and Polybius and Dionysius of Halicarnassus for the shield sense.</w:t>
      </w:r>
    </w:p>
  </w:footnote>
  <w:footnote w:id="13">
    <w:p w14:paraId="14E82ACF" w14:textId="77777777" w:rsidR="00931CA2" w:rsidRDefault="002E4938">
      <w:pPr>
        <w:pStyle w:val="FootnoteText"/>
      </w:pPr>
      <w:r>
        <w:rPr>
          <w:rStyle w:val="FootnoteCharacters"/>
        </w:rPr>
        <w:footnoteRef/>
      </w:r>
      <w:r>
        <w:t xml:space="preserve"> Abbott-Smith, </w:t>
      </w:r>
      <w:r>
        <w:rPr>
          <w:i/>
          <w:iCs/>
        </w:rPr>
        <w:t>Manual Greek Lexicon</w:t>
      </w:r>
      <w:r>
        <w:t xml:space="preserve">, </w:t>
      </w:r>
      <w:proofErr w:type="spellStart"/>
      <w:r>
        <w:t>s.v.</w:t>
      </w:r>
      <w:proofErr w:type="spellEnd"/>
      <w:r>
        <w:t> </w:t>
      </w:r>
      <w:proofErr w:type="spellStart"/>
      <w:r>
        <w:t>θυρεός</w:t>
      </w:r>
      <w:proofErr w:type="spellEnd"/>
      <w:r>
        <w:t xml:space="preserve">, digital edition at studylight.org. The bracketed note in that entry records the word’s use in the Septuagint for the Hebrew words numbered H4043 and H6793 — that is, </w:t>
      </w:r>
      <w:proofErr w:type="spellStart"/>
      <w:r>
        <w:rPr>
          <w:rtl/>
        </w:rPr>
        <w:t>מָגֵן</w:t>
      </w:r>
      <w:proofErr w:type="spellEnd"/>
      <w:r>
        <w:t xml:space="preserve"> and </w:t>
      </w:r>
      <w:proofErr w:type="spellStart"/>
      <w:r>
        <w:rPr>
          <w:rtl/>
        </w:rPr>
        <w:t>צִנ</w:t>
      </w:r>
      <w:proofErr w:type="spellEnd"/>
      <w:r>
        <w:rPr>
          <w:rtl/>
        </w:rPr>
        <w:t>ָּה</w:t>
      </w:r>
      <w:r>
        <w:t xml:space="preserve"> — which is why the Old Testament shield texts stand directly behind Ephesians 6:16. (Strong’s numbers are used here only as lookup identifiers, never as a source of meaning.)</w:t>
      </w:r>
    </w:p>
  </w:footnote>
  <w:footnote w:id="14">
    <w:p w14:paraId="14E82AD6" w14:textId="77777777" w:rsidR="00931CA2" w:rsidRDefault="002E4938">
      <w:pPr>
        <w:pStyle w:val="FootnoteText"/>
      </w:pPr>
      <w:r>
        <w:rPr>
          <w:rStyle w:val="FootnoteCharacters"/>
        </w:rPr>
        <w:footnoteRef/>
      </w:r>
      <w:r>
        <w:t xml:space="preserve"> Liddell, Scott, and Jones, </w:t>
      </w:r>
      <w:proofErr w:type="gramStart"/>
      <w:r>
        <w:rPr>
          <w:i/>
          <w:iCs/>
        </w:rPr>
        <w:t>Greek-English</w:t>
      </w:r>
      <w:proofErr w:type="gramEnd"/>
      <w:r>
        <w:rPr>
          <w:i/>
          <w:iCs/>
        </w:rPr>
        <w:t xml:space="preserve"> Lexicon</w:t>
      </w:r>
      <w:r>
        <w:t xml:space="preserve">, </w:t>
      </w:r>
      <w:proofErr w:type="spellStart"/>
      <w:r>
        <w:t>s.v.</w:t>
      </w:r>
      <w:proofErr w:type="spellEnd"/>
      <w:r>
        <w:t> </w:t>
      </w:r>
      <w:proofErr w:type="spellStart"/>
      <w:r>
        <w:t>μάχ</w:t>
      </w:r>
      <w:proofErr w:type="spellEnd"/>
      <w:r>
        <w:t xml:space="preserve">αιρα, digital edition at studylight.org: “curved sword, for a cutting stroke,” and “later, </w:t>
      </w:r>
      <w:proofErr w:type="spellStart"/>
      <w:r>
        <w:t>sabre</w:t>
      </w:r>
      <w:proofErr w:type="spellEnd"/>
      <w:r>
        <w:t>, opp. the straight sword (</w:t>
      </w:r>
      <w:proofErr w:type="spellStart"/>
      <w:r>
        <w:t>ξίφος</w:t>
      </w:r>
      <w:proofErr w:type="spellEnd"/>
      <w:r>
        <w:t xml:space="preserve">).” Abbott-Smith, </w:t>
      </w:r>
      <w:r>
        <w:rPr>
          <w:i/>
          <w:iCs/>
        </w:rPr>
        <w:t>Manual Greek Lexicon</w:t>
      </w:r>
      <w:r>
        <w:t xml:space="preserve">, </w:t>
      </w:r>
      <w:proofErr w:type="spellStart"/>
      <w:r>
        <w:t>s.v.</w:t>
      </w:r>
      <w:proofErr w:type="spellEnd"/>
      <w:r>
        <w:t xml:space="preserve">, likewise defines it as “a short sword or dagger (as </w:t>
      </w:r>
      <w:proofErr w:type="spellStart"/>
      <w:r>
        <w:t>disting</w:t>
      </w:r>
      <w:proofErr w:type="spellEnd"/>
      <w:r>
        <w:t xml:space="preserve">. from </w:t>
      </w:r>
      <w:proofErr w:type="spellStart"/>
      <w:r>
        <w:t>ῥ</w:t>
      </w:r>
      <w:r>
        <w:t>ομφ</w:t>
      </w:r>
      <w:proofErr w:type="spellEnd"/>
      <w:r>
        <w:t xml:space="preserve">αία, a large broad sword and </w:t>
      </w:r>
      <w:proofErr w:type="spellStart"/>
      <w:r>
        <w:t>ξίφος</w:t>
      </w:r>
      <w:proofErr w:type="spellEnd"/>
      <w:r>
        <w:t>, a straight sword for thrusting).” See section 5.3 of the full study.</w:t>
      </w:r>
    </w:p>
  </w:footnote>
  <w:footnote w:id="15">
    <w:p w14:paraId="14E82AD7" w14:textId="77777777" w:rsidR="00931CA2" w:rsidRDefault="002E4938">
      <w:pPr>
        <w:pStyle w:val="FootnoteText"/>
      </w:pPr>
      <w:r>
        <w:rPr>
          <w:rStyle w:val="FootnoteCharacters"/>
        </w:rPr>
        <w:footnoteRef/>
      </w:r>
      <w:r>
        <w:t xml:space="preserve"> </w:t>
      </w:r>
      <w:r>
        <w:t xml:space="preserve">The verbal parallels between Isaiah 59:17 and Ephesians 6:14, 17 (breastplate of righteousness; helmet of salvation) are widely noted in the commentary tradition. The observation here rests on direct comparison of the two texts in the NKJV rather than on a commentator’s authority; a full-length commentary on Ephesians should be consulted before the point is attributed to any </w:t>
      </w:r>
      <w:proofErr w:type="gramStart"/>
      <w:r>
        <w:t>particular scholar</w:t>
      </w:r>
      <w:proofErr w:type="gramEnd"/>
      <w:r>
        <w:t>.</w:t>
      </w:r>
    </w:p>
  </w:footnote>
  <w:footnote w:id="16">
    <w:p w14:paraId="14E82AD8" w14:textId="77777777" w:rsidR="00931CA2" w:rsidRDefault="002E4938">
      <w:pPr>
        <w:pStyle w:val="FootnoteText"/>
      </w:pPr>
      <w:r>
        <w:rPr>
          <w:rStyle w:val="FootnoteCharacters"/>
        </w:rPr>
        <w:footnoteRef/>
      </w:r>
      <w:r>
        <w:t xml:space="preserve"> Brown, Driver, and Briggs, </w:t>
      </w:r>
      <w:r>
        <w:rPr>
          <w:i/>
          <w:iCs/>
        </w:rPr>
        <w:t>Hebrew and English Lexicon</w:t>
      </w:r>
      <w:r>
        <w:t xml:space="preserve">, </w:t>
      </w:r>
      <w:proofErr w:type="spellStart"/>
      <w:r>
        <w:t>s.v.</w:t>
      </w:r>
      <w:proofErr w:type="spellEnd"/>
      <w:r>
        <w:t> </w:t>
      </w:r>
      <w:proofErr w:type="spellStart"/>
      <w:r>
        <w:rPr>
          <w:rtl/>
        </w:rPr>
        <w:t>צִנ</w:t>
      </w:r>
      <w:proofErr w:type="spellEnd"/>
      <w:r>
        <w:rPr>
          <w:rtl/>
        </w:rPr>
        <w:t>ָּה</w:t>
      </w:r>
      <w:r>
        <w:t xml:space="preserve">, digital edition at studylight.org, which gives “noun feminine large shield (covering whole body)” and notes it is “larger than </w:t>
      </w:r>
      <w:proofErr w:type="spellStart"/>
      <w:r>
        <w:rPr>
          <w:rtl/>
        </w:rPr>
        <w:t>מָגֵן</w:t>
      </w:r>
      <w:proofErr w:type="spellEnd"/>
      <w:r>
        <w:t>,” citing 1 Kings 10:16.</w:t>
      </w:r>
    </w:p>
  </w:footnote>
  <w:footnote w:id="17">
    <w:p w14:paraId="14E82AD9" w14:textId="77777777" w:rsidR="00931CA2" w:rsidRDefault="002E4938">
      <w:pPr>
        <w:pStyle w:val="FootnoteText"/>
      </w:pPr>
      <w:r>
        <w:rPr>
          <w:rStyle w:val="FootnoteCharacters"/>
        </w:rPr>
        <w:footnoteRef/>
      </w:r>
      <w:r>
        <w:t xml:space="preserve"> Brown, Driver, and Briggs, </w:t>
      </w:r>
      <w:r>
        <w:rPr>
          <w:i/>
          <w:iCs/>
        </w:rPr>
        <w:t>Hebrew and English Lexicon</w:t>
      </w:r>
      <w:r>
        <w:t xml:space="preserve">, </w:t>
      </w:r>
      <w:proofErr w:type="spellStart"/>
      <w:r>
        <w:t>s.v.</w:t>
      </w:r>
      <w:proofErr w:type="spellEnd"/>
      <w:r>
        <w:t> </w:t>
      </w:r>
      <w:proofErr w:type="spellStart"/>
      <w:r>
        <w:rPr>
          <w:rtl/>
        </w:rPr>
        <w:t>סֹחֵרָה</w:t>
      </w:r>
      <w:proofErr w:type="spellEnd"/>
      <w:r>
        <w:t xml:space="preserve">, digital edition at studylight.org: “noun feminine buckler; — Psalm 91:4 (+ </w:t>
      </w:r>
      <w:proofErr w:type="spellStart"/>
      <w:r>
        <w:rPr>
          <w:rtl/>
        </w:rPr>
        <w:t>צִנ</w:t>
      </w:r>
      <w:proofErr w:type="spellEnd"/>
      <w:r>
        <w:rPr>
          <w:rtl/>
        </w:rPr>
        <w:t>ָּה</w:t>
      </w:r>
      <w:r>
        <w:t xml:space="preserve">; figurative of </w:t>
      </w:r>
      <w:r>
        <w:rPr>
          <w:rtl/>
        </w:rPr>
        <w:t>י׳</w:t>
      </w:r>
      <w:r>
        <w:t>’s faithfulness).” No size or shape is specified in the entry.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92FD4"/>
    <w:multiLevelType w:val="multilevel"/>
    <w:tmpl w:val="25D481BC"/>
    <w:lvl w:ilvl="0">
      <w:start w:val="1"/>
      <w:numFmt w:val="decimal"/>
      <w:lvlText w:val="%1."/>
      <w:lvlJc w:val="left"/>
      <w:pPr>
        <w:tabs>
          <w:tab w:val="num" w:pos="0"/>
        </w:tabs>
        <w:ind w:left="720" w:hanging="480"/>
      </w:pPr>
    </w:lvl>
    <w:lvl w:ilvl="1">
      <w:start w:val="1"/>
      <w:numFmt w:val="decimal"/>
      <w:lvlText w:val="%2."/>
      <w:lvlJc w:val="left"/>
      <w:pPr>
        <w:tabs>
          <w:tab w:val="num" w:pos="0"/>
        </w:tabs>
        <w:ind w:left="1440" w:hanging="480"/>
      </w:pPr>
    </w:lvl>
    <w:lvl w:ilvl="2">
      <w:start w:val="1"/>
      <w:numFmt w:val="decimal"/>
      <w:lvlText w:val="%3."/>
      <w:lvlJc w:val="left"/>
      <w:pPr>
        <w:tabs>
          <w:tab w:val="num" w:pos="0"/>
        </w:tabs>
        <w:ind w:left="2160" w:hanging="480"/>
      </w:pPr>
    </w:lvl>
    <w:lvl w:ilvl="3">
      <w:start w:val="1"/>
      <w:numFmt w:val="decimal"/>
      <w:lvlText w:val="%4."/>
      <w:lvlJc w:val="left"/>
      <w:pPr>
        <w:tabs>
          <w:tab w:val="num" w:pos="0"/>
        </w:tabs>
        <w:ind w:left="2880" w:hanging="480"/>
      </w:pPr>
    </w:lvl>
    <w:lvl w:ilvl="4">
      <w:start w:val="1"/>
      <w:numFmt w:val="decimal"/>
      <w:lvlText w:val="%5."/>
      <w:lvlJc w:val="left"/>
      <w:pPr>
        <w:tabs>
          <w:tab w:val="num" w:pos="0"/>
        </w:tabs>
        <w:ind w:left="3600" w:hanging="480"/>
      </w:pPr>
    </w:lvl>
    <w:lvl w:ilvl="5">
      <w:start w:val="1"/>
      <w:numFmt w:val="decimal"/>
      <w:lvlText w:val="%6."/>
      <w:lvlJc w:val="left"/>
      <w:pPr>
        <w:tabs>
          <w:tab w:val="num" w:pos="0"/>
        </w:tabs>
        <w:ind w:left="4320" w:hanging="480"/>
      </w:pPr>
    </w:lvl>
    <w:lvl w:ilvl="6">
      <w:start w:val="1"/>
      <w:numFmt w:val="decimal"/>
      <w:lvlText w:val="%7."/>
      <w:lvlJc w:val="left"/>
      <w:pPr>
        <w:tabs>
          <w:tab w:val="num" w:pos="0"/>
        </w:tabs>
        <w:ind w:left="5040" w:hanging="480"/>
      </w:pPr>
    </w:lvl>
    <w:lvl w:ilvl="7">
      <w:start w:val="1"/>
      <w:numFmt w:val="decimal"/>
      <w:lvlText w:val="%8."/>
      <w:lvlJc w:val="left"/>
      <w:pPr>
        <w:tabs>
          <w:tab w:val="num" w:pos="0"/>
        </w:tabs>
        <w:ind w:left="5760" w:hanging="480"/>
      </w:pPr>
    </w:lvl>
    <w:lvl w:ilvl="8">
      <w:start w:val="1"/>
      <w:numFmt w:val="decimal"/>
      <w:lvlText w:val="%9."/>
      <w:lvlJc w:val="left"/>
      <w:pPr>
        <w:tabs>
          <w:tab w:val="num" w:pos="0"/>
        </w:tabs>
        <w:ind w:left="6480" w:hanging="480"/>
      </w:pPr>
    </w:lvl>
  </w:abstractNum>
  <w:abstractNum w:abstractNumId="1" w15:restartNumberingAfterBreak="0">
    <w:nsid w:val="12690C7B"/>
    <w:multiLevelType w:val="multilevel"/>
    <w:tmpl w:val="F93AE882"/>
    <w:lvl w:ilvl="0">
      <w:start w:val="1"/>
      <w:numFmt w:val="decimal"/>
      <w:lvlText w:val="%1."/>
      <w:lvlJc w:val="left"/>
      <w:pPr>
        <w:tabs>
          <w:tab w:val="num" w:pos="0"/>
        </w:tabs>
        <w:ind w:left="720" w:hanging="480"/>
      </w:pPr>
    </w:lvl>
    <w:lvl w:ilvl="1">
      <w:start w:val="1"/>
      <w:numFmt w:val="decimal"/>
      <w:lvlText w:val="%2."/>
      <w:lvlJc w:val="left"/>
      <w:pPr>
        <w:tabs>
          <w:tab w:val="num" w:pos="0"/>
        </w:tabs>
        <w:ind w:left="1440" w:hanging="480"/>
      </w:pPr>
    </w:lvl>
    <w:lvl w:ilvl="2">
      <w:start w:val="1"/>
      <w:numFmt w:val="decimal"/>
      <w:lvlText w:val="%3."/>
      <w:lvlJc w:val="left"/>
      <w:pPr>
        <w:tabs>
          <w:tab w:val="num" w:pos="0"/>
        </w:tabs>
        <w:ind w:left="2160" w:hanging="480"/>
      </w:pPr>
    </w:lvl>
    <w:lvl w:ilvl="3">
      <w:start w:val="1"/>
      <w:numFmt w:val="decimal"/>
      <w:lvlText w:val="%4."/>
      <w:lvlJc w:val="left"/>
      <w:pPr>
        <w:tabs>
          <w:tab w:val="num" w:pos="0"/>
        </w:tabs>
        <w:ind w:left="2880" w:hanging="480"/>
      </w:pPr>
    </w:lvl>
    <w:lvl w:ilvl="4">
      <w:start w:val="1"/>
      <w:numFmt w:val="decimal"/>
      <w:lvlText w:val="%5."/>
      <w:lvlJc w:val="left"/>
      <w:pPr>
        <w:tabs>
          <w:tab w:val="num" w:pos="0"/>
        </w:tabs>
        <w:ind w:left="3600" w:hanging="480"/>
      </w:pPr>
    </w:lvl>
    <w:lvl w:ilvl="5">
      <w:start w:val="1"/>
      <w:numFmt w:val="decimal"/>
      <w:lvlText w:val="%6."/>
      <w:lvlJc w:val="left"/>
      <w:pPr>
        <w:tabs>
          <w:tab w:val="num" w:pos="0"/>
        </w:tabs>
        <w:ind w:left="4320" w:hanging="480"/>
      </w:pPr>
    </w:lvl>
    <w:lvl w:ilvl="6">
      <w:start w:val="1"/>
      <w:numFmt w:val="decimal"/>
      <w:lvlText w:val="%7."/>
      <w:lvlJc w:val="left"/>
      <w:pPr>
        <w:tabs>
          <w:tab w:val="num" w:pos="0"/>
        </w:tabs>
        <w:ind w:left="5040" w:hanging="480"/>
      </w:pPr>
    </w:lvl>
    <w:lvl w:ilvl="7">
      <w:start w:val="1"/>
      <w:numFmt w:val="decimal"/>
      <w:lvlText w:val="%8."/>
      <w:lvlJc w:val="left"/>
      <w:pPr>
        <w:tabs>
          <w:tab w:val="num" w:pos="0"/>
        </w:tabs>
        <w:ind w:left="5760" w:hanging="480"/>
      </w:pPr>
    </w:lvl>
    <w:lvl w:ilvl="8">
      <w:start w:val="1"/>
      <w:numFmt w:val="decimal"/>
      <w:lvlText w:val="%9."/>
      <w:lvlJc w:val="left"/>
      <w:pPr>
        <w:tabs>
          <w:tab w:val="num" w:pos="0"/>
        </w:tabs>
        <w:ind w:left="6480" w:hanging="480"/>
      </w:pPr>
    </w:lvl>
  </w:abstractNum>
  <w:abstractNum w:abstractNumId="2" w15:restartNumberingAfterBreak="0">
    <w:nsid w:val="14A10FB2"/>
    <w:multiLevelType w:val="multilevel"/>
    <w:tmpl w:val="80DE3EF0"/>
    <w:lvl w:ilvl="0">
      <w:start w:val="3"/>
      <w:numFmt w:val="decimal"/>
      <w:lvlText w:val="%1."/>
      <w:lvlJc w:val="left"/>
      <w:pPr>
        <w:tabs>
          <w:tab w:val="num" w:pos="-240"/>
        </w:tabs>
        <w:ind w:left="480" w:hanging="480"/>
      </w:pPr>
    </w:lvl>
    <w:lvl w:ilvl="1">
      <w:start w:val="3"/>
      <w:numFmt w:val="decimal"/>
      <w:lvlText w:val="%2."/>
      <w:lvlJc w:val="left"/>
      <w:pPr>
        <w:tabs>
          <w:tab w:val="num" w:pos="-240"/>
        </w:tabs>
        <w:ind w:left="1200" w:hanging="480"/>
      </w:pPr>
    </w:lvl>
    <w:lvl w:ilvl="2">
      <w:start w:val="3"/>
      <w:numFmt w:val="decimal"/>
      <w:lvlText w:val="%3."/>
      <w:lvlJc w:val="left"/>
      <w:pPr>
        <w:tabs>
          <w:tab w:val="num" w:pos="-240"/>
        </w:tabs>
        <w:ind w:left="1920" w:hanging="480"/>
      </w:pPr>
    </w:lvl>
    <w:lvl w:ilvl="3">
      <w:start w:val="3"/>
      <w:numFmt w:val="decimal"/>
      <w:lvlText w:val="%4."/>
      <w:lvlJc w:val="left"/>
      <w:pPr>
        <w:tabs>
          <w:tab w:val="num" w:pos="-240"/>
        </w:tabs>
        <w:ind w:left="2640" w:hanging="480"/>
      </w:pPr>
    </w:lvl>
    <w:lvl w:ilvl="4">
      <w:start w:val="3"/>
      <w:numFmt w:val="decimal"/>
      <w:lvlText w:val="%5."/>
      <w:lvlJc w:val="left"/>
      <w:pPr>
        <w:tabs>
          <w:tab w:val="num" w:pos="-240"/>
        </w:tabs>
        <w:ind w:left="3360" w:hanging="480"/>
      </w:pPr>
    </w:lvl>
    <w:lvl w:ilvl="5">
      <w:start w:val="3"/>
      <w:numFmt w:val="decimal"/>
      <w:lvlText w:val="%6."/>
      <w:lvlJc w:val="left"/>
      <w:pPr>
        <w:tabs>
          <w:tab w:val="num" w:pos="-240"/>
        </w:tabs>
        <w:ind w:left="4080" w:hanging="480"/>
      </w:pPr>
    </w:lvl>
    <w:lvl w:ilvl="6">
      <w:start w:val="3"/>
      <w:numFmt w:val="decimal"/>
      <w:lvlText w:val="%7."/>
      <w:lvlJc w:val="left"/>
      <w:pPr>
        <w:tabs>
          <w:tab w:val="num" w:pos="-240"/>
        </w:tabs>
        <w:ind w:left="4800" w:hanging="480"/>
      </w:pPr>
    </w:lvl>
    <w:lvl w:ilvl="7">
      <w:start w:val="3"/>
      <w:numFmt w:val="decimal"/>
      <w:lvlText w:val="%8."/>
      <w:lvlJc w:val="left"/>
      <w:pPr>
        <w:tabs>
          <w:tab w:val="num" w:pos="-240"/>
        </w:tabs>
        <w:ind w:left="5520" w:hanging="480"/>
      </w:pPr>
    </w:lvl>
    <w:lvl w:ilvl="8">
      <w:start w:val="3"/>
      <w:numFmt w:val="decimal"/>
      <w:lvlText w:val="%9."/>
      <w:lvlJc w:val="left"/>
      <w:pPr>
        <w:tabs>
          <w:tab w:val="num" w:pos="-240"/>
        </w:tabs>
        <w:ind w:left="6240" w:hanging="480"/>
      </w:pPr>
    </w:lvl>
  </w:abstractNum>
  <w:abstractNum w:abstractNumId="3" w15:restartNumberingAfterBreak="0">
    <w:nsid w:val="299D13B8"/>
    <w:multiLevelType w:val="multilevel"/>
    <w:tmpl w:val="28244FF2"/>
    <w:lvl w:ilvl="0">
      <w:start w:val="1"/>
      <w:numFmt w:val="decimal"/>
      <w:lvlText w:val="%1."/>
      <w:lvlJc w:val="left"/>
      <w:pPr>
        <w:tabs>
          <w:tab w:val="num" w:pos="-240"/>
        </w:tabs>
        <w:ind w:left="480" w:hanging="480"/>
      </w:pPr>
    </w:lvl>
    <w:lvl w:ilvl="1">
      <w:start w:val="1"/>
      <w:numFmt w:val="decimal"/>
      <w:lvlText w:val="%2."/>
      <w:lvlJc w:val="left"/>
      <w:pPr>
        <w:tabs>
          <w:tab w:val="num" w:pos="-240"/>
        </w:tabs>
        <w:ind w:left="1200" w:hanging="480"/>
      </w:pPr>
    </w:lvl>
    <w:lvl w:ilvl="2">
      <w:start w:val="1"/>
      <w:numFmt w:val="decimal"/>
      <w:lvlText w:val="%3."/>
      <w:lvlJc w:val="left"/>
      <w:pPr>
        <w:tabs>
          <w:tab w:val="num" w:pos="-240"/>
        </w:tabs>
        <w:ind w:left="1920" w:hanging="480"/>
      </w:pPr>
    </w:lvl>
    <w:lvl w:ilvl="3">
      <w:start w:val="1"/>
      <w:numFmt w:val="decimal"/>
      <w:lvlText w:val="%4."/>
      <w:lvlJc w:val="left"/>
      <w:pPr>
        <w:tabs>
          <w:tab w:val="num" w:pos="-240"/>
        </w:tabs>
        <w:ind w:left="2640" w:hanging="480"/>
      </w:pPr>
    </w:lvl>
    <w:lvl w:ilvl="4">
      <w:start w:val="1"/>
      <w:numFmt w:val="decimal"/>
      <w:lvlText w:val="%5."/>
      <w:lvlJc w:val="left"/>
      <w:pPr>
        <w:tabs>
          <w:tab w:val="num" w:pos="-240"/>
        </w:tabs>
        <w:ind w:left="3360" w:hanging="480"/>
      </w:pPr>
    </w:lvl>
    <w:lvl w:ilvl="5">
      <w:start w:val="1"/>
      <w:numFmt w:val="decimal"/>
      <w:lvlText w:val="%6."/>
      <w:lvlJc w:val="left"/>
      <w:pPr>
        <w:tabs>
          <w:tab w:val="num" w:pos="-240"/>
        </w:tabs>
        <w:ind w:left="4080" w:hanging="480"/>
      </w:pPr>
    </w:lvl>
    <w:lvl w:ilvl="6">
      <w:start w:val="1"/>
      <w:numFmt w:val="decimal"/>
      <w:lvlText w:val="%7."/>
      <w:lvlJc w:val="left"/>
      <w:pPr>
        <w:tabs>
          <w:tab w:val="num" w:pos="-240"/>
        </w:tabs>
        <w:ind w:left="4800" w:hanging="480"/>
      </w:pPr>
    </w:lvl>
    <w:lvl w:ilvl="7">
      <w:start w:val="1"/>
      <w:numFmt w:val="decimal"/>
      <w:lvlText w:val="%8."/>
      <w:lvlJc w:val="left"/>
      <w:pPr>
        <w:tabs>
          <w:tab w:val="num" w:pos="-240"/>
        </w:tabs>
        <w:ind w:left="5520" w:hanging="480"/>
      </w:pPr>
    </w:lvl>
    <w:lvl w:ilvl="8">
      <w:start w:val="1"/>
      <w:numFmt w:val="decimal"/>
      <w:lvlText w:val="%9."/>
      <w:lvlJc w:val="left"/>
      <w:pPr>
        <w:tabs>
          <w:tab w:val="num" w:pos="-240"/>
        </w:tabs>
        <w:ind w:left="6240" w:hanging="480"/>
      </w:pPr>
    </w:lvl>
  </w:abstractNum>
  <w:abstractNum w:abstractNumId="4" w15:restartNumberingAfterBreak="0">
    <w:nsid w:val="33642F21"/>
    <w:multiLevelType w:val="multilevel"/>
    <w:tmpl w:val="83F24BF2"/>
    <w:lvl w:ilvl="0">
      <w:start w:val="5"/>
      <w:numFmt w:val="decimal"/>
      <w:lvlText w:val="%1."/>
      <w:lvlJc w:val="left"/>
      <w:pPr>
        <w:tabs>
          <w:tab w:val="num" w:pos="-240"/>
        </w:tabs>
        <w:ind w:left="480" w:hanging="480"/>
      </w:pPr>
    </w:lvl>
    <w:lvl w:ilvl="1">
      <w:start w:val="5"/>
      <w:numFmt w:val="decimal"/>
      <w:lvlText w:val="%2."/>
      <w:lvlJc w:val="left"/>
      <w:pPr>
        <w:tabs>
          <w:tab w:val="num" w:pos="-240"/>
        </w:tabs>
        <w:ind w:left="1200" w:hanging="480"/>
      </w:pPr>
    </w:lvl>
    <w:lvl w:ilvl="2">
      <w:start w:val="5"/>
      <w:numFmt w:val="decimal"/>
      <w:lvlText w:val="%3."/>
      <w:lvlJc w:val="left"/>
      <w:pPr>
        <w:tabs>
          <w:tab w:val="num" w:pos="-240"/>
        </w:tabs>
        <w:ind w:left="1920" w:hanging="480"/>
      </w:pPr>
    </w:lvl>
    <w:lvl w:ilvl="3">
      <w:start w:val="5"/>
      <w:numFmt w:val="decimal"/>
      <w:lvlText w:val="%4."/>
      <w:lvlJc w:val="left"/>
      <w:pPr>
        <w:tabs>
          <w:tab w:val="num" w:pos="-240"/>
        </w:tabs>
        <w:ind w:left="2640" w:hanging="480"/>
      </w:pPr>
    </w:lvl>
    <w:lvl w:ilvl="4">
      <w:start w:val="5"/>
      <w:numFmt w:val="decimal"/>
      <w:lvlText w:val="%5."/>
      <w:lvlJc w:val="left"/>
      <w:pPr>
        <w:tabs>
          <w:tab w:val="num" w:pos="-240"/>
        </w:tabs>
        <w:ind w:left="3360" w:hanging="480"/>
      </w:pPr>
    </w:lvl>
    <w:lvl w:ilvl="5">
      <w:start w:val="5"/>
      <w:numFmt w:val="decimal"/>
      <w:lvlText w:val="%6."/>
      <w:lvlJc w:val="left"/>
      <w:pPr>
        <w:tabs>
          <w:tab w:val="num" w:pos="-240"/>
        </w:tabs>
        <w:ind w:left="4080" w:hanging="480"/>
      </w:pPr>
    </w:lvl>
    <w:lvl w:ilvl="6">
      <w:start w:val="5"/>
      <w:numFmt w:val="decimal"/>
      <w:lvlText w:val="%7."/>
      <w:lvlJc w:val="left"/>
      <w:pPr>
        <w:tabs>
          <w:tab w:val="num" w:pos="-240"/>
        </w:tabs>
        <w:ind w:left="4800" w:hanging="480"/>
      </w:pPr>
    </w:lvl>
    <w:lvl w:ilvl="7">
      <w:start w:val="5"/>
      <w:numFmt w:val="decimal"/>
      <w:lvlText w:val="%8."/>
      <w:lvlJc w:val="left"/>
      <w:pPr>
        <w:tabs>
          <w:tab w:val="num" w:pos="-240"/>
        </w:tabs>
        <w:ind w:left="5520" w:hanging="480"/>
      </w:pPr>
    </w:lvl>
    <w:lvl w:ilvl="8">
      <w:start w:val="5"/>
      <w:numFmt w:val="decimal"/>
      <w:lvlText w:val="%9."/>
      <w:lvlJc w:val="left"/>
      <w:pPr>
        <w:tabs>
          <w:tab w:val="num" w:pos="-240"/>
        </w:tabs>
        <w:ind w:left="6240" w:hanging="480"/>
      </w:pPr>
    </w:lvl>
  </w:abstractNum>
  <w:abstractNum w:abstractNumId="5" w15:restartNumberingAfterBreak="0">
    <w:nsid w:val="3479463A"/>
    <w:multiLevelType w:val="multilevel"/>
    <w:tmpl w:val="A4142984"/>
    <w:lvl w:ilvl="0">
      <w:start w:val="8"/>
      <w:numFmt w:val="decimal"/>
      <w:lvlText w:val="%1."/>
      <w:lvlJc w:val="left"/>
      <w:pPr>
        <w:tabs>
          <w:tab w:val="num" w:pos="-240"/>
        </w:tabs>
        <w:ind w:left="480" w:hanging="480"/>
      </w:pPr>
    </w:lvl>
    <w:lvl w:ilvl="1">
      <w:start w:val="8"/>
      <w:numFmt w:val="decimal"/>
      <w:lvlText w:val="%2."/>
      <w:lvlJc w:val="left"/>
      <w:pPr>
        <w:tabs>
          <w:tab w:val="num" w:pos="-240"/>
        </w:tabs>
        <w:ind w:left="1200" w:hanging="480"/>
      </w:pPr>
    </w:lvl>
    <w:lvl w:ilvl="2">
      <w:start w:val="8"/>
      <w:numFmt w:val="decimal"/>
      <w:lvlText w:val="%3."/>
      <w:lvlJc w:val="left"/>
      <w:pPr>
        <w:tabs>
          <w:tab w:val="num" w:pos="-240"/>
        </w:tabs>
        <w:ind w:left="1920" w:hanging="480"/>
      </w:pPr>
    </w:lvl>
    <w:lvl w:ilvl="3">
      <w:start w:val="8"/>
      <w:numFmt w:val="decimal"/>
      <w:lvlText w:val="%4."/>
      <w:lvlJc w:val="left"/>
      <w:pPr>
        <w:tabs>
          <w:tab w:val="num" w:pos="-240"/>
        </w:tabs>
        <w:ind w:left="2640" w:hanging="480"/>
      </w:pPr>
    </w:lvl>
    <w:lvl w:ilvl="4">
      <w:start w:val="8"/>
      <w:numFmt w:val="decimal"/>
      <w:lvlText w:val="%5."/>
      <w:lvlJc w:val="left"/>
      <w:pPr>
        <w:tabs>
          <w:tab w:val="num" w:pos="-240"/>
        </w:tabs>
        <w:ind w:left="3360" w:hanging="480"/>
      </w:pPr>
    </w:lvl>
    <w:lvl w:ilvl="5">
      <w:start w:val="8"/>
      <w:numFmt w:val="decimal"/>
      <w:lvlText w:val="%6."/>
      <w:lvlJc w:val="left"/>
      <w:pPr>
        <w:tabs>
          <w:tab w:val="num" w:pos="-240"/>
        </w:tabs>
        <w:ind w:left="4080" w:hanging="480"/>
      </w:pPr>
    </w:lvl>
    <w:lvl w:ilvl="6">
      <w:start w:val="8"/>
      <w:numFmt w:val="decimal"/>
      <w:lvlText w:val="%7."/>
      <w:lvlJc w:val="left"/>
      <w:pPr>
        <w:tabs>
          <w:tab w:val="num" w:pos="-240"/>
        </w:tabs>
        <w:ind w:left="4800" w:hanging="480"/>
      </w:pPr>
    </w:lvl>
    <w:lvl w:ilvl="7">
      <w:start w:val="8"/>
      <w:numFmt w:val="decimal"/>
      <w:lvlText w:val="%8."/>
      <w:lvlJc w:val="left"/>
      <w:pPr>
        <w:tabs>
          <w:tab w:val="num" w:pos="-240"/>
        </w:tabs>
        <w:ind w:left="5520" w:hanging="480"/>
      </w:pPr>
    </w:lvl>
    <w:lvl w:ilvl="8">
      <w:start w:val="8"/>
      <w:numFmt w:val="decimal"/>
      <w:lvlText w:val="%9."/>
      <w:lvlJc w:val="left"/>
      <w:pPr>
        <w:tabs>
          <w:tab w:val="num" w:pos="-240"/>
        </w:tabs>
        <w:ind w:left="6240" w:hanging="480"/>
      </w:pPr>
    </w:lvl>
  </w:abstractNum>
  <w:abstractNum w:abstractNumId="6" w15:restartNumberingAfterBreak="0">
    <w:nsid w:val="3C831C73"/>
    <w:multiLevelType w:val="multilevel"/>
    <w:tmpl w:val="568CAA18"/>
    <w:lvl w:ilvl="0">
      <w:start w:val="4"/>
      <w:numFmt w:val="decimal"/>
      <w:lvlText w:val="%1."/>
      <w:lvlJc w:val="left"/>
      <w:pPr>
        <w:tabs>
          <w:tab w:val="num" w:pos="-240"/>
        </w:tabs>
        <w:ind w:left="480" w:hanging="480"/>
      </w:pPr>
    </w:lvl>
    <w:lvl w:ilvl="1">
      <w:start w:val="4"/>
      <w:numFmt w:val="decimal"/>
      <w:lvlText w:val="%2."/>
      <w:lvlJc w:val="left"/>
      <w:pPr>
        <w:tabs>
          <w:tab w:val="num" w:pos="-240"/>
        </w:tabs>
        <w:ind w:left="1200" w:hanging="480"/>
      </w:pPr>
    </w:lvl>
    <w:lvl w:ilvl="2">
      <w:start w:val="4"/>
      <w:numFmt w:val="decimal"/>
      <w:lvlText w:val="%3."/>
      <w:lvlJc w:val="left"/>
      <w:pPr>
        <w:tabs>
          <w:tab w:val="num" w:pos="-240"/>
        </w:tabs>
        <w:ind w:left="1920" w:hanging="480"/>
      </w:pPr>
    </w:lvl>
    <w:lvl w:ilvl="3">
      <w:start w:val="4"/>
      <w:numFmt w:val="decimal"/>
      <w:lvlText w:val="%4."/>
      <w:lvlJc w:val="left"/>
      <w:pPr>
        <w:tabs>
          <w:tab w:val="num" w:pos="-240"/>
        </w:tabs>
        <w:ind w:left="2640" w:hanging="480"/>
      </w:pPr>
    </w:lvl>
    <w:lvl w:ilvl="4">
      <w:start w:val="4"/>
      <w:numFmt w:val="decimal"/>
      <w:lvlText w:val="%5."/>
      <w:lvlJc w:val="left"/>
      <w:pPr>
        <w:tabs>
          <w:tab w:val="num" w:pos="-240"/>
        </w:tabs>
        <w:ind w:left="3360" w:hanging="480"/>
      </w:pPr>
    </w:lvl>
    <w:lvl w:ilvl="5">
      <w:start w:val="4"/>
      <w:numFmt w:val="decimal"/>
      <w:lvlText w:val="%6."/>
      <w:lvlJc w:val="left"/>
      <w:pPr>
        <w:tabs>
          <w:tab w:val="num" w:pos="-240"/>
        </w:tabs>
        <w:ind w:left="4080" w:hanging="480"/>
      </w:pPr>
    </w:lvl>
    <w:lvl w:ilvl="6">
      <w:start w:val="4"/>
      <w:numFmt w:val="decimal"/>
      <w:lvlText w:val="%7."/>
      <w:lvlJc w:val="left"/>
      <w:pPr>
        <w:tabs>
          <w:tab w:val="num" w:pos="-240"/>
        </w:tabs>
        <w:ind w:left="4800" w:hanging="480"/>
      </w:pPr>
    </w:lvl>
    <w:lvl w:ilvl="7">
      <w:start w:val="4"/>
      <w:numFmt w:val="decimal"/>
      <w:lvlText w:val="%8."/>
      <w:lvlJc w:val="left"/>
      <w:pPr>
        <w:tabs>
          <w:tab w:val="num" w:pos="-240"/>
        </w:tabs>
        <w:ind w:left="5520" w:hanging="480"/>
      </w:pPr>
    </w:lvl>
    <w:lvl w:ilvl="8">
      <w:start w:val="4"/>
      <w:numFmt w:val="decimal"/>
      <w:lvlText w:val="%9."/>
      <w:lvlJc w:val="left"/>
      <w:pPr>
        <w:tabs>
          <w:tab w:val="num" w:pos="-240"/>
        </w:tabs>
        <w:ind w:left="6240" w:hanging="480"/>
      </w:pPr>
    </w:lvl>
  </w:abstractNum>
  <w:abstractNum w:abstractNumId="7" w15:restartNumberingAfterBreak="0">
    <w:nsid w:val="51556DEE"/>
    <w:multiLevelType w:val="multilevel"/>
    <w:tmpl w:val="05C22C2E"/>
    <w:lvl w:ilvl="0">
      <w:start w:val="7"/>
      <w:numFmt w:val="decimal"/>
      <w:lvlText w:val="%1."/>
      <w:lvlJc w:val="left"/>
      <w:pPr>
        <w:tabs>
          <w:tab w:val="num" w:pos="-240"/>
        </w:tabs>
        <w:ind w:left="480" w:hanging="480"/>
      </w:pPr>
    </w:lvl>
    <w:lvl w:ilvl="1">
      <w:start w:val="7"/>
      <w:numFmt w:val="decimal"/>
      <w:lvlText w:val="%2."/>
      <w:lvlJc w:val="left"/>
      <w:pPr>
        <w:tabs>
          <w:tab w:val="num" w:pos="-240"/>
        </w:tabs>
        <w:ind w:left="1200" w:hanging="480"/>
      </w:pPr>
    </w:lvl>
    <w:lvl w:ilvl="2">
      <w:start w:val="7"/>
      <w:numFmt w:val="decimal"/>
      <w:lvlText w:val="%3."/>
      <w:lvlJc w:val="left"/>
      <w:pPr>
        <w:tabs>
          <w:tab w:val="num" w:pos="-240"/>
        </w:tabs>
        <w:ind w:left="1920" w:hanging="480"/>
      </w:pPr>
    </w:lvl>
    <w:lvl w:ilvl="3">
      <w:start w:val="7"/>
      <w:numFmt w:val="decimal"/>
      <w:lvlText w:val="%4."/>
      <w:lvlJc w:val="left"/>
      <w:pPr>
        <w:tabs>
          <w:tab w:val="num" w:pos="-240"/>
        </w:tabs>
        <w:ind w:left="2640" w:hanging="480"/>
      </w:pPr>
    </w:lvl>
    <w:lvl w:ilvl="4">
      <w:start w:val="7"/>
      <w:numFmt w:val="decimal"/>
      <w:lvlText w:val="%5."/>
      <w:lvlJc w:val="left"/>
      <w:pPr>
        <w:tabs>
          <w:tab w:val="num" w:pos="-240"/>
        </w:tabs>
        <w:ind w:left="3360" w:hanging="480"/>
      </w:pPr>
    </w:lvl>
    <w:lvl w:ilvl="5">
      <w:start w:val="7"/>
      <w:numFmt w:val="decimal"/>
      <w:lvlText w:val="%6."/>
      <w:lvlJc w:val="left"/>
      <w:pPr>
        <w:tabs>
          <w:tab w:val="num" w:pos="-240"/>
        </w:tabs>
        <w:ind w:left="4080" w:hanging="480"/>
      </w:pPr>
    </w:lvl>
    <w:lvl w:ilvl="6">
      <w:start w:val="7"/>
      <w:numFmt w:val="decimal"/>
      <w:lvlText w:val="%7."/>
      <w:lvlJc w:val="left"/>
      <w:pPr>
        <w:tabs>
          <w:tab w:val="num" w:pos="-240"/>
        </w:tabs>
        <w:ind w:left="4800" w:hanging="480"/>
      </w:pPr>
    </w:lvl>
    <w:lvl w:ilvl="7">
      <w:start w:val="7"/>
      <w:numFmt w:val="decimal"/>
      <w:lvlText w:val="%8."/>
      <w:lvlJc w:val="left"/>
      <w:pPr>
        <w:tabs>
          <w:tab w:val="num" w:pos="-240"/>
        </w:tabs>
        <w:ind w:left="5520" w:hanging="480"/>
      </w:pPr>
    </w:lvl>
    <w:lvl w:ilvl="8">
      <w:start w:val="7"/>
      <w:numFmt w:val="decimal"/>
      <w:lvlText w:val="%9."/>
      <w:lvlJc w:val="left"/>
      <w:pPr>
        <w:tabs>
          <w:tab w:val="num" w:pos="-240"/>
        </w:tabs>
        <w:ind w:left="6240" w:hanging="480"/>
      </w:pPr>
    </w:lvl>
  </w:abstractNum>
  <w:abstractNum w:abstractNumId="8" w15:restartNumberingAfterBreak="0">
    <w:nsid w:val="55270A05"/>
    <w:multiLevelType w:val="multilevel"/>
    <w:tmpl w:val="3CEC96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8B43700"/>
    <w:multiLevelType w:val="multilevel"/>
    <w:tmpl w:val="4DD2FE7A"/>
    <w:lvl w:ilvl="0">
      <w:start w:val="2"/>
      <w:numFmt w:val="decimal"/>
      <w:lvlText w:val="%1."/>
      <w:lvlJc w:val="left"/>
      <w:pPr>
        <w:tabs>
          <w:tab w:val="num" w:pos="-240"/>
        </w:tabs>
        <w:ind w:left="480" w:hanging="480"/>
      </w:pPr>
    </w:lvl>
    <w:lvl w:ilvl="1">
      <w:start w:val="2"/>
      <w:numFmt w:val="decimal"/>
      <w:lvlText w:val="%2."/>
      <w:lvlJc w:val="left"/>
      <w:pPr>
        <w:tabs>
          <w:tab w:val="num" w:pos="-240"/>
        </w:tabs>
        <w:ind w:left="1200" w:hanging="480"/>
      </w:pPr>
    </w:lvl>
    <w:lvl w:ilvl="2">
      <w:start w:val="2"/>
      <w:numFmt w:val="decimal"/>
      <w:lvlText w:val="%3."/>
      <w:lvlJc w:val="left"/>
      <w:pPr>
        <w:tabs>
          <w:tab w:val="num" w:pos="-240"/>
        </w:tabs>
        <w:ind w:left="1920" w:hanging="480"/>
      </w:pPr>
    </w:lvl>
    <w:lvl w:ilvl="3">
      <w:start w:val="2"/>
      <w:numFmt w:val="decimal"/>
      <w:lvlText w:val="%4."/>
      <w:lvlJc w:val="left"/>
      <w:pPr>
        <w:tabs>
          <w:tab w:val="num" w:pos="-240"/>
        </w:tabs>
        <w:ind w:left="2640" w:hanging="480"/>
      </w:pPr>
    </w:lvl>
    <w:lvl w:ilvl="4">
      <w:start w:val="2"/>
      <w:numFmt w:val="decimal"/>
      <w:lvlText w:val="%5."/>
      <w:lvlJc w:val="left"/>
      <w:pPr>
        <w:tabs>
          <w:tab w:val="num" w:pos="-240"/>
        </w:tabs>
        <w:ind w:left="3360" w:hanging="480"/>
      </w:pPr>
    </w:lvl>
    <w:lvl w:ilvl="5">
      <w:start w:val="2"/>
      <w:numFmt w:val="decimal"/>
      <w:lvlText w:val="%6."/>
      <w:lvlJc w:val="left"/>
      <w:pPr>
        <w:tabs>
          <w:tab w:val="num" w:pos="-240"/>
        </w:tabs>
        <w:ind w:left="4080" w:hanging="480"/>
      </w:pPr>
    </w:lvl>
    <w:lvl w:ilvl="6">
      <w:start w:val="2"/>
      <w:numFmt w:val="decimal"/>
      <w:lvlText w:val="%7."/>
      <w:lvlJc w:val="left"/>
      <w:pPr>
        <w:tabs>
          <w:tab w:val="num" w:pos="-240"/>
        </w:tabs>
        <w:ind w:left="4800" w:hanging="480"/>
      </w:pPr>
    </w:lvl>
    <w:lvl w:ilvl="7">
      <w:start w:val="2"/>
      <w:numFmt w:val="decimal"/>
      <w:lvlText w:val="%8."/>
      <w:lvlJc w:val="left"/>
      <w:pPr>
        <w:tabs>
          <w:tab w:val="num" w:pos="-240"/>
        </w:tabs>
        <w:ind w:left="5520" w:hanging="480"/>
      </w:pPr>
    </w:lvl>
    <w:lvl w:ilvl="8">
      <w:start w:val="2"/>
      <w:numFmt w:val="decimal"/>
      <w:lvlText w:val="%9."/>
      <w:lvlJc w:val="left"/>
      <w:pPr>
        <w:tabs>
          <w:tab w:val="num" w:pos="-240"/>
        </w:tabs>
        <w:ind w:left="6240" w:hanging="480"/>
      </w:pPr>
    </w:lvl>
  </w:abstractNum>
  <w:abstractNum w:abstractNumId="10" w15:restartNumberingAfterBreak="0">
    <w:nsid w:val="66B92257"/>
    <w:multiLevelType w:val="multilevel"/>
    <w:tmpl w:val="2CDECA5A"/>
    <w:lvl w:ilvl="0">
      <w:start w:val="1"/>
      <w:numFmt w:val="decimal"/>
      <w:lvlText w:val="%1."/>
      <w:lvlJc w:val="left"/>
      <w:pPr>
        <w:tabs>
          <w:tab w:val="num" w:pos="0"/>
        </w:tabs>
        <w:ind w:left="720" w:hanging="480"/>
      </w:pPr>
    </w:lvl>
    <w:lvl w:ilvl="1">
      <w:start w:val="1"/>
      <w:numFmt w:val="decimal"/>
      <w:lvlText w:val="%2."/>
      <w:lvlJc w:val="left"/>
      <w:pPr>
        <w:tabs>
          <w:tab w:val="num" w:pos="0"/>
        </w:tabs>
        <w:ind w:left="1440" w:hanging="480"/>
      </w:pPr>
    </w:lvl>
    <w:lvl w:ilvl="2">
      <w:start w:val="1"/>
      <w:numFmt w:val="decimal"/>
      <w:lvlText w:val="%3."/>
      <w:lvlJc w:val="left"/>
      <w:pPr>
        <w:tabs>
          <w:tab w:val="num" w:pos="0"/>
        </w:tabs>
        <w:ind w:left="2160" w:hanging="480"/>
      </w:pPr>
    </w:lvl>
    <w:lvl w:ilvl="3">
      <w:start w:val="1"/>
      <w:numFmt w:val="decimal"/>
      <w:lvlText w:val="%4."/>
      <w:lvlJc w:val="left"/>
      <w:pPr>
        <w:tabs>
          <w:tab w:val="num" w:pos="0"/>
        </w:tabs>
        <w:ind w:left="2880" w:hanging="480"/>
      </w:pPr>
    </w:lvl>
    <w:lvl w:ilvl="4">
      <w:start w:val="1"/>
      <w:numFmt w:val="decimal"/>
      <w:lvlText w:val="%5."/>
      <w:lvlJc w:val="left"/>
      <w:pPr>
        <w:tabs>
          <w:tab w:val="num" w:pos="0"/>
        </w:tabs>
        <w:ind w:left="3600" w:hanging="480"/>
      </w:pPr>
    </w:lvl>
    <w:lvl w:ilvl="5">
      <w:start w:val="1"/>
      <w:numFmt w:val="decimal"/>
      <w:lvlText w:val="%6."/>
      <w:lvlJc w:val="left"/>
      <w:pPr>
        <w:tabs>
          <w:tab w:val="num" w:pos="0"/>
        </w:tabs>
        <w:ind w:left="4320" w:hanging="480"/>
      </w:pPr>
    </w:lvl>
    <w:lvl w:ilvl="6">
      <w:start w:val="1"/>
      <w:numFmt w:val="decimal"/>
      <w:lvlText w:val="%7."/>
      <w:lvlJc w:val="left"/>
      <w:pPr>
        <w:tabs>
          <w:tab w:val="num" w:pos="0"/>
        </w:tabs>
        <w:ind w:left="5040" w:hanging="480"/>
      </w:pPr>
    </w:lvl>
    <w:lvl w:ilvl="7">
      <w:start w:val="1"/>
      <w:numFmt w:val="decimal"/>
      <w:lvlText w:val="%8."/>
      <w:lvlJc w:val="left"/>
      <w:pPr>
        <w:tabs>
          <w:tab w:val="num" w:pos="0"/>
        </w:tabs>
        <w:ind w:left="5760" w:hanging="480"/>
      </w:pPr>
    </w:lvl>
    <w:lvl w:ilvl="8">
      <w:start w:val="1"/>
      <w:numFmt w:val="decimal"/>
      <w:lvlText w:val="%9."/>
      <w:lvlJc w:val="left"/>
      <w:pPr>
        <w:tabs>
          <w:tab w:val="num" w:pos="0"/>
        </w:tabs>
        <w:ind w:left="6480" w:hanging="480"/>
      </w:pPr>
    </w:lvl>
  </w:abstractNum>
  <w:num w:numId="1" w16cid:durableId="1208301791">
    <w:abstractNumId w:val="3"/>
  </w:num>
  <w:num w:numId="2" w16cid:durableId="272056717">
    <w:abstractNumId w:val="9"/>
  </w:num>
  <w:num w:numId="3" w16cid:durableId="64300981">
    <w:abstractNumId w:val="2"/>
  </w:num>
  <w:num w:numId="4" w16cid:durableId="1306473536">
    <w:abstractNumId w:val="6"/>
  </w:num>
  <w:num w:numId="5" w16cid:durableId="2047168915">
    <w:abstractNumId w:val="4"/>
  </w:num>
  <w:num w:numId="6" w16cid:durableId="958141629">
    <w:abstractNumId w:val="7"/>
  </w:num>
  <w:num w:numId="7" w16cid:durableId="327367073">
    <w:abstractNumId w:val="5"/>
  </w:num>
  <w:num w:numId="8" w16cid:durableId="9526329">
    <w:abstractNumId w:val="1"/>
  </w:num>
  <w:num w:numId="9" w16cid:durableId="2027902583">
    <w:abstractNumId w:val="10"/>
  </w:num>
  <w:num w:numId="10" w16cid:durableId="254823273">
    <w:abstractNumId w:val="0"/>
  </w:num>
  <w:num w:numId="11" w16cid:durableId="855920484">
    <w:abstractNumId w:val="8"/>
  </w:num>
  <w:num w:numId="12" w16cid:durableId="1692032419">
    <w:abstractNumId w:val="3"/>
    <w:lvlOverride w:ilvl="0">
      <w:startOverride w:val="1"/>
    </w:lvlOverride>
  </w:num>
  <w:num w:numId="13" w16cid:durableId="1871064685">
    <w:abstractNumId w:val="9"/>
    <w:lvlOverride w:ilvl="0">
      <w:startOverride w:val="2"/>
    </w:lvlOverride>
  </w:num>
  <w:num w:numId="14" w16cid:durableId="2100978704">
    <w:abstractNumId w:val="2"/>
    <w:lvlOverride w:ilvl="0">
      <w:startOverride w:val="3"/>
    </w:lvlOverride>
  </w:num>
  <w:num w:numId="15" w16cid:durableId="989360939">
    <w:abstractNumId w:val="6"/>
    <w:lvlOverride w:ilvl="0">
      <w:startOverride w:val="4"/>
    </w:lvlOverride>
  </w:num>
  <w:num w:numId="16" w16cid:durableId="777264003">
    <w:abstractNumId w:val="4"/>
    <w:lvlOverride w:ilvl="0">
      <w:startOverride w:val="5"/>
    </w:lvlOverride>
  </w:num>
  <w:num w:numId="17" w16cid:durableId="125776161">
    <w:abstractNumId w:val="7"/>
    <w:lvlOverride w:ilvl="0">
      <w:startOverride w:val="7"/>
    </w:lvlOverride>
  </w:num>
  <w:num w:numId="18" w16cid:durableId="714814711">
    <w:abstractNumId w:val="5"/>
    <w:lvlOverride w:ilvl="0">
      <w:startOverride w:val="8"/>
    </w:lvlOverride>
  </w:num>
  <w:num w:numId="19" w16cid:durableId="1714427533">
    <w:abstractNumId w:val="3"/>
    <w:lvlOverride w:ilvl="0">
      <w:startOverride w:val="1"/>
    </w:lvlOverride>
  </w:num>
  <w:num w:numId="20" w16cid:durableId="1069881273">
    <w:abstractNumId w:val="3"/>
  </w:num>
  <w:num w:numId="21" w16cid:durableId="1427577418">
    <w:abstractNumId w:val="3"/>
  </w:num>
  <w:num w:numId="22" w16cid:durableId="243731008">
    <w:abstractNumId w:val="3"/>
  </w:num>
  <w:num w:numId="23" w16cid:durableId="2079940373">
    <w:abstractNumId w:val="3"/>
  </w:num>
  <w:num w:numId="24" w16cid:durableId="1527449776">
    <w:abstractNumId w:val="3"/>
  </w:num>
  <w:num w:numId="25" w16cid:durableId="237982732">
    <w:abstractNumId w:val="3"/>
  </w:num>
  <w:num w:numId="26" w16cid:durableId="1075543467">
    <w:abstractNumId w:val="3"/>
  </w:num>
  <w:num w:numId="27" w16cid:durableId="124739843">
    <w:abstractNumId w:val="3"/>
  </w:num>
  <w:num w:numId="28" w16cid:durableId="2013213932">
    <w:abstractNumId w:val="3"/>
  </w:num>
  <w:num w:numId="29" w16cid:durableId="342047830">
    <w:abstractNumId w:val="3"/>
    <w:lvlOverride w:ilvl="0">
      <w:startOverride w:val="1"/>
    </w:lvlOverride>
  </w:num>
  <w:num w:numId="30" w16cid:durableId="846597962">
    <w:abstractNumId w:val="3"/>
  </w:num>
  <w:num w:numId="31" w16cid:durableId="1457528669">
    <w:abstractNumId w:val="3"/>
  </w:num>
  <w:num w:numId="32" w16cid:durableId="1186942035">
    <w:abstractNumId w:val="3"/>
  </w:num>
  <w:num w:numId="33" w16cid:durableId="1740639733">
    <w:abstractNumId w:val="3"/>
  </w:num>
  <w:num w:numId="34" w16cid:durableId="692608932">
    <w:abstractNumId w:val="3"/>
  </w:num>
  <w:num w:numId="35" w16cid:durableId="96021639">
    <w:abstractNumId w:val="3"/>
  </w:num>
  <w:num w:numId="36" w16cid:durableId="1317763254">
    <w:abstractNumId w:val="3"/>
  </w:num>
  <w:num w:numId="37" w16cid:durableId="871461112">
    <w:abstractNumId w:val="3"/>
  </w:num>
  <w:num w:numId="38" w16cid:durableId="1455170044">
    <w:abstractNumId w:val="3"/>
  </w:num>
  <w:num w:numId="39" w16cid:durableId="1278373544">
    <w:abstractNumId w:val="3"/>
    <w:lvlOverride w:ilvl="0">
      <w:startOverride w:val="1"/>
    </w:lvlOverride>
  </w:num>
  <w:num w:numId="40" w16cid:durableId="933168628">
    <w:abstractNumId w:val="3"/>
  </w:num>
  <w:num w:numId="41" w16cid:durableId="854995484">
    <w:abstractNumId w:val="3"/>
  </w:num>
  <w:num w:numId="42" w16cid:durableId="749891204">
    <w:abstractNumId w:val="3"/>
  </w:num>
  <w:num w:numId="43" w16cid:durableId="1369717368">
    <w:abstractNumId w:val="3"/>
  </w:num>
  <w:num w:numId="44" w16cid:durableId="306321157">
    <w:abstractNumId w:val="3"/>
  </w:num>
  <w:num w:numId="45" w16cid:durableId="1501581612">
    <w:abstractNumId w:val="3"/>
  </w:num>
  <w:num w:numId="46" w16cid:durableId="2072608290">
    <w:abstractNumId w:val="3"/>
  </w:num>
  <w:num w:numId="47" w16cid:durableId="778181981">
    <w:abstractNumId w:val="3"/>
  </w:num>
  <w:num w:numId="48" w16cid:durableId="514537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1CA2"/>
    <w:rsid w:val="000F4C90"/>
    <w:rsid w:val="002E4938"/>
    <w:rsid w:val="00396367"/>
    <w:rsid w:val="003B47A6"/>
    <w:rsid w:val="00591AF6"/>
    <w:rsid w:val="00866521"/>
    <w:rsid w:val="008B3D7E"/>
    <w:rsid w:val="00931CA2"/>
    <w:rsid w:val="00A54A1D"/>
    <w:rsid w:val="00B024F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829EE"/>
  <w15:docId w15:val="{07BEA3B8-1A0B-4BF7-B3FB-82378E59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60" w:line="252" w:lineRule="auto"/>
    </w:pPr>
    <w:rPr>
      <w:rFonts w:ascii="Arial" w:eastAsia="Arial" w:hAnsi="Arial" w:cs="Arial"/>
      <w:color w:val="000000"/>
    </w:rPr>
  </w:style>
  <w:style w:type="paragraph" w:styleId="Heading1">
    <w:name w:val="heading 1"/>
    <w:basedOn w:val="Normal"/>
    <w:next w:val="BodyText"/>
    <w:uiPriority w:val="9"/>
    <w:qFormat/>
    <w:pPr>
      <w:keepNext/>
      <w:keepLines/>
      <w:spacing w:before="240" w:after="120"/>
      <w:outlineLvl w:val="0"/>
    </w:pPr>
    <w:rPr>
      <w:b/>
      <w:bCs/>
      <w:i/>
      <w:iCs/>
      <w:sz w:val="32"/>
      <w:szCs w:val="32"/>
    </w:rPr>
  </w:style>
  <w:style w:type="paragraph" w:styleId="Heading2">
    <w:name w:val="heading 2"/>
    <w:basedOn w:val="Normal"/>
    <w:next w:val="BodyText"/>
    <w:uiPriority w:val="9"/>
    <w:unhideWhenUsed/>
    <w:qFormat/>
    <w:pPr>
      <w:keepNext/>
      <w:keepLines/>
      <w:spacing w:before="120" w:after="120"/>
      <w:outlineLvl w:val="1"/>
    </w:pPr>
    <w:rPr>
      <w:b/>
      <w:bCs/>
      <w:sz w:val="28"/>
      <w:szCs w:val="28"/>
      <w:u w:val="single"/>
    </w:rPr>
  </w:style>
  <w:style w:type="paragraph" w:styleId="Heading3">
    <w:name w:val="heading 3"/>
    <w:basedOn w:val="Normal"/>
    <w:next w:val="BodyText"/>
    <w:uiPriority w:val="9"/>
    <w:unhideWhenUsed/>
    <w:qFormat/>
    <w:pPr>
      <w:keepNext/>
      <w:keepLines/>
      <w:spacing w:before="120" w:after="120"/>
      <w:outlineLvl w:val="2"/>
    </w:pPr>
    <w:rPr>
      <w:sz w:val="26"/>
      <w:szCs w:val="26"/>
    </w:rPr>
  </w:style>
  <w:style w:type="paragraph" w:styleId="Heading4">
    <w:name w:val="heading 4"/>
    <w:basedOn w:val="Normal"/>
    <w:next w:val="BodyText"/>
    <w:uiPriority w:val="9"/>
    <w:unhideWhenUsed/>
    <w:qFormat/>
    <w:pPr>
      <w:keepNext/>
      <w:keepLines/>
      <w:spacing w:before="120" w:after="120"/>
      <w:outlineLvl w:val="3"/>
    </w:p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120" w:after="120"/>
      <w:outlineLvl w:val="5"/>
    </w:pPr>
  </w:style>
  <w:style w:type="paragraph" w:styleId="Heading7">
    <w:name w:val="heading 7"/>
    <w:basedOn w:val="Normal"/>
    <w:next w:val="BodyText"/>
    <w:uiPriority w:val="9"/>
    <w:unhideWhenUsed/>
    <w:qFormat/>
    <w:pPr>
      <w:keepNext/>
      <w:keepLines/>
      <w:spacing w:before="120" w:after="120"/>
      <w:outlineLvl w:val="6"/>
    </w:pPr>
  </w:style>
  <w:style w:type="paragraph" w:styleId="Heading8">
    <w:name w:val="heading 8"/>
    <w:basedOn w:val="Normal"/>
    <w:next w:val="BodyText"/>
    <w:uiPriority w:val="9"/>
    <w:unhideWhenUsed/>
    <w:qFormat/>
    <w:pPr>
      <w:keepNext/>
      <w:keepLines/>
      <w:spacing w:before="120" w:after="120"/>
      <w:outlineLvl w:val="7"/>
    </w:pPr>
  </w:style>
  <w:style w:type="paragraph" w:styleId="Heading9">
    <w:name w:val="heading 9"/>
    <w:basedOn w:val="Normal"/>
    <w:next w:val="BodyText"/>
    <w:uiPriority w:val="9"/>
    <w:unhideWhenUsed/>
    <w:qFormat/>
    <w:pPr>
      <w:keepNext/>
      <w:keepLines/>
      <w:spacing w:before="120" w:after="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SectionNumber">
    <w:name w:val="Section Number"/>
    <w:basedOn w:val="CaptionChar"/>
    <w:qFormat/>
  </w:style>
  <w:style w:type="character" w:customStyle="1" w:styleId="FootnoteCharacters">
    <w:name w:val="Footnote Characters"/>
    <w:basedOn w:val="CaptionChar"/>
    <w:qFormat/>
    <w:rPr>
      <w:rFonts w:ascii="Arial" w:eastAsia="Arial" w:hAnsi="Arial" w:cs="Arial"/>
      <w:color w:val="000000"/>
      <w:sz w:val="20"/>
      <w:szCs w:val="20"/>
      <w:vertAlign w:val="superscript"/>
    </w:rPr>
  </w:style>
  <w:style w:type="character" w:styleId="FootnoteReference">
    <w:name w:val="footnote reference"/>
    <w:rPr>
      <w:rFonts w:ascii="Arial" w:eastAsia="Arial" w:hAnsi="Arial" w:cs="Arial"/>
      <w:color w:val="000000"/>
      <w:sz w:val="20"/>
      <w:szCs w:val="20"/>
      <w:vertAlign w:val="superscript"/>
    </w:rPr>
  </w:style>
  <w:style w:type="character" w:styleId="Hyperlink">
    <w:name w:val="Hyperlink"/>
    <w:basedOn w:val="CaptionChar"/>
    <w:rPr>
      <w:color w:val="000000"/>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character" w:customStyle="1" w:styleId="IndexLink">
    <w:name w:val="Index Link"/>
    <w:qFormat/>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qFormat/>
  </w:style>
  <w:style w:type="paragraph" w:styleId="List">
    <w:name w:val="List"/>
    <w:basedOn w:val="BodyText"/>
    <w:rPr>
      <w:rFonts w:cs="FreeSans"/>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FreeSans"/>
    </w:rPr>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before="480" w:after="240"/>
      <w:jc w:val="center"/>
    </w:pPr>
    <w:rPr>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spacing w:after="200"/>
      <w:jc w:val="center"/>
    </w:pPr>
  </w:style>
  <w:style w:type="paragraph" w:styleId="Date">
    <w:name w:val="Date"/>
    <w:next w:val="BodyText"/>
    <w:qFormat/>
    <w:pPr>
      <w:keepNext/>
      <w:keepLines/>
      <w:spacing w:after="200"/>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ind w:left="480" w:right="480"/>
    </w:pPr>
    <w:rPr>
      <w:i/>
      <w:iCs/>
    </w:rPr>
  </w:style>
  <w:style w:type="paragraph" w:styleId="FootnoteText">
    <w:name w:val="footnote text"/>
    <w:basedOn w:val="Normal"/>
    <w:uiPriority w:val="9"/>
    <w:unhideWhenUsed/>
    <w:qFormat/>
    <w:pPr>
      <w:spacing w:after="0" w:line="240" w:lineRule="auto"/>
    </w:pPr>
    <w:rPr>
      <w:sz w:val="20"/>
      <w:szCs w:val="20"/>
    </w:r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paragraph" w:styleId="IndexHeading">
    <w:name w:val="index heading"/>
    <w:basedOn w:val="Heading"/>
  </w:style>
  <w:style w:type="paragraph" w:styleId="TOCHeading">
    <w:name w:val="TOC Heading"/>
    <w:basedOn w:val="Heading1"/>
    <w:next w:val="BodyText"/>
    <w:uiPriority w:val="39"/>
    <w:unhideWhenUsed/>
    <w:qFormat/>
    <w:pPr>
      <w:spacing w:line="259" w:lineRule="auto"/>
      <w:outlineLvl w:val="9"/>
    </w:pPr>
    <w:rPr>
      <w:sz w:val="28"/>
      <w:szCs w:val="28"/>
    </w:rPr>
  </w:style>
  <w:style w:type="paragraph" w:customStyle="1" w:styleId="SourceCode">
    <w:name w:val="Source Code"/>
    <w:basedOn w:val="Normal"/>
    <w:link w:val="VerbatimChar"/>
    <w:qFormat/>
  </w:style>
  <w:style w:type="paragraph" w:styleId="TOC1">
    <w:name w:val="toc 1"/>
    <w:basedOn w:val="Index"/>
    <w:pPr>
      <w:tabs>
        <w:tab w:val="right" w:leader="dot" w:pos="9360"/>
      </w:tabs>
    </w:pPr>
  </w:style>
  <w:style w:type="paragraph" w:styleId="TOC2">
    <w:name w:val="toc 2"/>
    <w:basedOn w:val="Index"/>
    <w:pPr>
      <w:tabs>
        <w:tab w:val="right" w:leader="dot" w:pos="9077"/>
      </w:tabs>
      <w:ind w:left="283"/>
    </w:p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5698</Words>
  <Characters>32483</Characters>
  <Application>Microsoft Office Word</Application>
  <DocSecurity>0</DocSecurity>
  <Lines>270</Lines>
  <Paragraphs>76</Paragraphs>
  <ScaleCrop>false</ScaleCrop>
  <Company/>
  <LinksUpToDate>false</LinksUpToDate>
  <CharactersWithSpaces>38105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Shield of Faith — Leadership Discussion Guide</dc:title>
  <dc:subject/>
  <dc:creator/>
  <dc:description/>
  <cp:lastModifiedBy>James King</cp:lastModifiedBy>
  <cp:revision>8</cp:revision>
  <dcterms:created xsi:type="dcterms:W3CDTF">2026-09-14T12:02:00Z</dcterms:created>
  <dcterms:modified xsi:type="dcterms:W3CDTF">2026-09-14T12:39:00Z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 Companion Guide for Church Leadership</vt:lpwstr>
  </property>
</Properties>
</file>