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keepNext w:val="true"/>
        <w:keepLines/>
        <w:spacing w:before="480" w:after="240"/>
        <w:jc w:val="center"/>
        <w:rPr/>
      </w:pPr>
      <w:r>
        <w:rPr/>
        <w:t>The Shield of Faith</w:t>
      </w:r>
    </w:p>
    <w:p>
      <w:pPr>
        <w:pStyle w:val="Subtitle"/>
        <w:rPr/>
      </w:pPr>
      <w:r>
        <w:rPr/>
        <w:t>Understanding, Building, and Using the Shield of Faith — A Deep Study for Church Leadership</w:t>
      </w:r>
    </w:p>
    <w:sdt>
      <w:sdtPr>
        <w:docPartObj>
          <w:docPartGallery w:val="Table of Contents"/>
          <w:docPartUnique w:val="true"/>
        </w:docPartObj>
      </w:sdtPr>
      <w:sdtContent>
        <w:p>
          <w:pPr>
            <w:pStyle w:val="TOCHeading"/>
            <w:spacing w:lineRule="auto" w:line="259" w:before="240" w:after="120"/>
            <w:rPr>
              <w:rFonts w:ascii="Arial" w:hAnsi="Arial" w:eastAsia="Arial" w:cs="Arial"/>
              <w:b/>
              <w:bCs/>
              <w:color w:val="000000"/>
              <w:sz w:val="28"/>
              <w:szCs w:val="28"/>
            </w:rPr>
          </w:pPr>
          <w:r>
            <w:rPr>
              <w:rFonts w:eastAsia="Arial" w:cs="Arial"/>
              <w:b/>
              <w:bCs/>
              <w:color w:val="000000"/>
              <w:sz w:val="28"/>
              <w:szCs w:val="28"/>
            </w:rPr>
            <w:t>Table of Contents</w:t>
          </w:r>
        </w:p>
        <w:p>
          <w:pPr>
            <w:pStyle w:val="TOC1"/>
            <w:tabs>
              <w:tab w:val="clear" w:pos="9360"/>
              <w:tab w:val="right" w:pos="9359" w:leader="dot"/>
            </w:tabs>
            <w:rPr/>
          </w:pPr>
          <w:r>
            <w:fldChar w:fldCharType="begin"/>
          </w:r>
          <w:r>
            <w:rPr>
              <w:webHidden/>
              <w:rStyle w:val="IndexLink"/>
            </w:rPr>
            <w:instrText xml:space="preserve"> TOC \z \o "1-3" \u \h</w:instrText>
          </w:r>
          <w:r>
            <w:rPr>
              <w:webHidden/>
              <w:rStyle w:val="IndexLink"/>
            </w:rPr>
            <w:fldChar w:fldCharType="separate"/>
          </w:r>
          <w:hyperlink w:anchor="__RefHeading___Toc2601_2115258294">
            <w:r>
              <w:rPr>
                <w:webHidden/>
                <w:rStyle w:val="IndexLink"/>
              </w:rPr>
              <w:t>Executive Summary</w:t>
              <w:tab/>
              <w:t>3</w:t>
            </w:r>
          </w:hyperlink>
        </w:p>
        <w:p>
          <w:pPr>
            <w:pStyle w:val="TOC1"/>
            <w:tabs>
              <w:tab w:val="clear" w:pos="9360"/>
              <w:tab w:val="right" w:pos="9359" w:leader="dot"/>
            </w:tabs>
            <w:rPr/>
          </w:pPr>
          <w:hyperlink w:anchor="__RefHeading___Toc2603_2115258294">
            <w:r>
              <w:rPr>
                <w:webHidden/>
                <w:rStyle w:val="IndexLink"/>
              </w:rPr>
              <w:t>Note to Church Leadership</w:t>
              <w:tab/>
              <w:t>4</w:t>
            </w:r>
          </w:hyperlink>
        </w:p>
        <w:p>
          <w:pPr>
            <w:pStyle w:val="TOC1"/>
            <w:tabs>
              <w:tab w:val="clear" w:pos="9360"/>
              <w:tab w:val="right" w:pos="9359" w:leader="dot"/>
            </w:tabs>
            <w:rPr/>
          </w:pPr>
          <w:hyperlink w:anchor="__RefHeading___Toc2605_2115258294">
            <w:r>
              <w:rPr>
                <w:webHidden/>
                <w:rStyle w:val="IndexLink"/>
              </w:rPr>
              <w:t>Part One: What Is Faith?</w:t>
              <w:tab/>
              <w:t>4</w:t>
            </w:r>
          </w:hyperlink>
        </w:p>
        <w:p>
          <w:pPr>
            <w:pStyle w:val="TOC2"/>
            <w:tabs>
              <w:tab w:val="clear" w:pos="9077"/>
              <w:tab w:val="right" w:pos="9359" w:leader="dot"/>
            </w:tabs>
            <w:rPr/>
          </w:pPr>
          <w:hyperlink w:anchor="__RefHeading___Toc2607_2115258294">
            <w:r>
              <w:rPr>
                <w:webHidden/>
                <w:rStyle w:val="IndexLink"/>
              </w:rPr>
              <w:t>1.1 The Bible’s Own Definition</w:t>
              <w:tab/>
              <w:t>4</w:t>
            </w:r>
          </w:hyperlink>
        </w:p>
        <w:p>
          <w:pPr>
            <w:pStyle w:val="TOC2"/>
            <w:tabs>
              <w:tab w:val="clear" w:pos="9077"/>
              <w:tab w:val="right" w:pos="9359" w:leader="dot"/>
            </w:tabs>
            <w:rPr/>
          </w:pPr>
          <w:hyperlink w:anchor="__RefHeading___Toc2609_2115258294">
            <w:r>
              <w:rPr>
                <w:webHidden/>
                <w:rStyle w:val="IndexLink"/>
              </w:rPr>
              <w:t>1.2 The Word Itself: πίστις</w:t>
              <w:tab/>
              <w:t>6</w:t>
            </w:r>
          </w:hyperlink>
        </w:p>
        <w:p>
          <w:pPr>
            <w:pStyle w:val="TOC2"/>
            <w:tabs>
              <w:tab w:val="clear" w:pos="9077"/>
              <w:tab w:val="right" w:pos="9359" w:leader="dot"/>
            </w:tabs>
            <w:rPr/>
          </w:pPr>
          <w:hyperlink w:anchor="__RefHeading___Toc2611_2115258294">
            <w:r>
              <w:rPr>
                <w:webHidden/>
                <w:rStyle w:val="IndexLink"/>
              </w:rPr>
              <w:t>1.3 Saving Faith and the Faith That Fights</w:t>
              <w:tab/>
              <w:t>7</w:t>
            </w:r>
          </w:hyperlink>
        </w:p>
        <w:p>
          <w:pPr>
            <w:pStyle w:val="TOC2"/>
            <w:tabs>
              <w:tab w:val="clear" w:pos="9077"/>
              <w:tab w:val="right" w:pos="9359" w:leader="dot"/>
            </w:tabs>
            <w:rPr/>
          </w:pPr>
          <w:hyperlink w:anchor="__RefHeading___Toc2613_2115258294">
            <w:r>
              <w:rPr>
                <w:webHidden/>
                <w:rStyle w:val="IndexLink"/>
              </w:rPr>
              <w:t>1.4 Faith’s Object, Not Faith’s Intensity, Is What Matters</w:t>
              <w:tab/>
              <w:t>8</w:t>
            </w:r>
          </w:hyperlink>
        </w:p>
        <w:p>
          <w:pPr>
            <w:pStyle w:val="TOC2"/>
            <w:tabs>
              <w:tab w:val="clear" w:pos="9077"/>
              <w:tab w:val="right" w:pos="9359" w:leader="dot"/>
            </w:tabs>
            <w:rPr/>
          </w:pPr>
          <w:hyperlink w:anchor="__RefHeading___Toc2615_2115258294">
            <w:r>
              <w:rPr>
                <w:webHidden/>
                <w:rStyle w:val="IndexLink"/>
              </w:rPr>
              <w:t>1.5 The Shield Itself: θυρεός</w:t>
              <w:tab/>
              <w:t>9</w:t>
            </w:r>
          </w:hyperlink>
        </w:p>
        <w:p>
          <w:pPr>
            <w:pStyle w:val="TOC1"/>
            <w:tabs>
              <w:tab w:val="clear" w:pos="9360"/>
              <w:tab w:val="right" w:pos="9359" w:leader="dot"/>
            </w:tabs>
            <w:rPr/>
          </w:pPr>
          <w:hyperlink w:anchor="__RefHeading___Toc2617_2115258294">
            <w:r>
              <w:rPr>
                <w:webHidden/>
                <w:rStyle w:val="IndexLink"/>
              </w:rPr>
              <w:t>Part Two: How to Strengthen Faith</w:t>
              <w:tab/>
              <w:t>10</w:t>
            </w:r>
          </w:hyperlink>
        </w:p>
        <w:p>
          <w:pPr>
            <w:pStyle w:val="TOC2"/>
            <w:tabs>
              <w:tab w:val="clear" w:pos="9077"/>
              <w:tab w:val="right" w:pos="9359" w:leader="dot"/>
            </w:tabs>
            <w:rPr/>
          </w:pPr>
          <w:hyperlink w:anchor="__RefHeading___Toc2619_2115258294">
            <w:r>
              <w:rPr>
                <w:webHidden/>
                <w:rStyle w:val="IndexLink"/>
              </w:rPr>
              <w:t>2.1 Faith Comes by Hearing the Preached Word — Romans 10:14-17 in Context</w:t>
              <w:tab/>
              <w:t>10</w:t>
            </w:r>
          </w:hyperlink>
        </w:p>
        <w:p>
          <w:pPr>
            <w:pStyle w:val="TOC2"/>
            <w:tabs>
              <w:tab w:val="clear" w:pos="9077"/>
              <w:tab w:val="right" w:pos="9359" w:leader="dot"/>
            </w:tabs>
            <w:rPr/>
          </w:pPr>
          <w:hyperlink w:anchor="__RefHeading___Toc2621_2115258294">
            <w:r>
              <w:rPr>
                <w:webHidden/>
                <w:rStyle w:val="IndexLink"/>
              </w:rPr>
              <w:t>2.2 Faith Is Refined Under Testing</w:t>
              <w:tab/>
              <w:t>13</w:t>
            </w:r>
          </w:hyperlink>
        </w:p>
        <w:p>
          <w:pPr>
            <w:pStyle w:val="TOC2"/>
            <w:tabs>
              <w:tab w:val="clear" w:pos="9077"/>
              <w:tab w:val="right" w:pos="9359" w:leader="dot"/>
            </w:tabs>
            <w:rPr/>
          </w:pPr>
          <w:hyperlink w:anchor="__RefHeading___Toc2623_2115258294">
            <w:r>
              <w:rPr>
                <w:webHidden/>
                <w:rStyle w:val="IndexLink"/>
              </w:rPr>
              <w:t>2.3 Faith Is Asked For, and Given, in Prayer</w:t>
              <w:tab/>
              <w:t>14</w:t>
            </w:r>
          </w:hyperlink>
        </w:p>
        <w:p>
          <w:pPr>
            <w:pStyle w:val="TOC2"/>
            <w:tabs>
              <w:tab w:val="clear" w:pos="9077"/>
              <w:tab w:val="right" w:pos="9359" w:leader="dot"/>
            </w:tabs>
            <w:rPr/>
          </w:pPr>
          <w:hyperlink w:anchor="__RefHeading___Toc2625_2115258294">
            <w:r>
              <w:rPr>
                <w:webHidden/>
                <w:rStyle w:val="IndexLink"/>
              </w:rPr>
              <w:t>2.4 Faith Is Strengthened by Remembering</w:t>
              <w:tab/>
              <w:t>14</w:t>
            </w:r>
          </w:hyperlink>
        </w:p>
        <w:p>
          <w:pPr>
            <w:pStyle w:val="TOC2"/>
            <w:tabs>
              <w:tab w:val="clear" w:pos="9077"/>
              <w:tab w:val="right" w:pos="9359" w:leader="dot"/>
            </w:tabs>
            <w:rPr/>
          </w:pPr>
          <w:hyperlink w:anchor="__RefHeading___Toc2627_2115258294">
            <w:r>
              <w:rPr>
                <w:webHidden/>
                <w:rStyle w:val="IndexLink"/>
              </w:rPr>
              <w:t>2.5 Faith Is Strengthened in Community</w:t>
              <w:tab/>
              <w:t>15</w:t>
            </w:r>
          </w:hyperlink>
        </w:p>
        <w:p>
          <w:pPr>
            <w:pStyle w:val="TOC1"/>
            <w:tabs>
              <w:tab w:val="clear" w:pos="9360"/>
              <w:tab w:val="right" w:pos="9359" w:leader="dot"/>
            </w:tabs>
            <w:rPr/>
          </w:pPr>
          <w:hyperlink w:anchor="__RefHeading___Toc2629_2115258294">
            <w:r>
              <w:rPr>
                <w:webHidden/>
                <w:rStyle w:val="IndexLink"/>
              </w:rPr>
              <w:t>Part Three: The Shield of Faith and “Putting On Christ”</w:t>
              <w:tab/>
              <w:t>15</w:t>
            </w:r>
          </w:hyperlink>
        </w:p>
        <w:p>
          <w:pPr>
            <w:pStyle w:val="TOC2"/>
            <w:tabs>
              <w:tab w:val="clear" w:pos="9077"/>
              <w:tab w:val="right" w:pos="9359" w:leader="dot"/>
            </w:tabs>
            <w:rPr/>
          </w:pPr>
          <w:hyperlink w:anchor="__RefHeading___Toc2631_2115258294">
            <w:r>
              <w:rPr>
                <w:webHidden/>
                <w:rStyle w:val="IndexLink"/>
              </w:rPr>
              <w:t>3.1 Faith Is Never a Free-Floating Virtue</w:t>
              <w:tab/>
              <w:t>15</w:t>
            </w:r>
          </w:hyperlink>
        </w:p>
        <w:p>
          <w:pPr>
            <w:pStyle w:val="TOC2"/>
            <w:tabs>
              <w:tab w:val="clear" w:pos="9077"/>
              <w:tab w:val="right" w:pos="9359" w:leader="dot"/>
            </w:tabs>
            <w:rPr/>
          </w:pPr>
          <w:hyperlink w:anchor="__RefHeading___Toc2633_2115258294">
            <w:r>
              <w:rPr>
                <w:webHidden/>
                <w:rStyle w:val="IndexLink"/>
              </w:rPr>
              <w:t>3.2 Faith as the Means of Union With Christ — Putting On the Lord Jesus</w:t>
              <w:tab/>
              <w:t>16</w:t>
            </w:r>
          </w:hyperlink>
        </w:p>
        <w:p>
          <w:pPr>
            <w:pStyle w:val="TOC2"/>
            <w:tabs>
              <w:tab w:val="clear" w:pos="9077"/>
              <w:tab w:val="right" w:pos="9359" w:leader="dot"/>
            </w:tabs>
            <w:rPr/>
          </w:pPr>
          <w:hyperlink w:anchor="__RefHeading___Toc2635_2115258294">
            <w:r>
              <w:rPr>
                <w:webHidden/>
                <w:rStyle w:val="IndexLink"/>
              </w:rPr>
              <w:t>3.3 A Practical Consequence for Teaching</w:t>
              <w:tab/>
              <w:t>17</w:t>
            </w:r>
          </w:hyperlink>
        </w:p>
        <w:p>
          <w:pPr>
            <w:pStyle w:val="TOC1"/>
            <w:tabs>
              <w:tab w:val="clear" w:pos="9360"/>
              <w:tab w:val="right" w:pos="9359" w:leader="dot"/>
            </w:tabs>
            <w:rPr/>
          </w:pPr>
          <w:hyperlink w:anchor="__RefHeading___Toc2637_2115258294">
            <w:r>
              <w:rPr>
                <w:webHidden/>
                <w:rStyle w:val="IndexLink"/>
              </w:rPr>
              <w:t>Part Four: Why So Many Believers Don’t Understand How to Use the Shield of Faith</w:t>
              <w:tab/>
              <w:t>18</w:t>
            </w:r>
          </w:hyperlink>
        </w:p>
        <w:p>
          <w:pPr>
            <w:pStyle w:val="TOC2"/>
            <w:tabs>
              <w:tab w:val="clear" w:pos="9077"/>
              <w:tab w:val="right" w:pos="9359" w:leader="dot"/>
            </w:tabs>
            <w:rPr/>
          </w:pPr>
          <w:hyperlink w:anchor="__RefHeading___Toc2639_2115258294">
            <w:r>
              <w:rPr>
                <w:webHidden/>
                <w:rStyle w:val="IndexLink"/>
              </w:rPr>
              <w:t>4.1 Faith Confused With Feeling</w:t>
              <w:tab/>
              <w:t>18</w:t>
            </w:r>
          </w:hyperlink>
        </w:p>
        <w:p>
          <w:pPr>
            <w:pStyle w:val="TOC2"/>
            <w:tabs>
              <w:tab w:val="clear" w:pos="9077"/>
              <w:tab w:val="right" w:pos="9359" w:leader="dot"/>
            </w:tabs>
            <w:rPr/>
          </w:pPr>
          <w:hyperlink w:anchor="__RefHeading___Toc2641_2115258294">
            <w:r>
              <w:rPr>
                <w:webHidden/>
                <w:rStyle w:val="IndexLink"/>
              </w:rPr>
              <w:t>4.2 Faith Redefined as a Force or Formula</w:t>
              <w:tab/>
              <w:t>18</w:t>
            </w:r>
          </w:hyperlink>
        </w:p>
        <w:p>
          <w:pPr>
            <w:pStyle w:val="TOC2"/>
            <w:tabs>
              <w:tab w:val="clear" w:pos="9077"/>
              <w:tab w:val="right" w:pos="9359" w:leader="dot"/>
            </w:tabs>
            <w:rPr/>
          </w:pPr>
          <w:hyperlink w:anchor="__RefHeading___Toc2643_2115258294">
            <w:r>
              <w:rPr>
                <w:webHidden/>
                <w:rStyle w:val="IndexLink"/>
              </w:rPr>
              <w:t>4.3 Passive Faith — Assuming the Shield Holds Itself Up</w:t>
              <w:tab/>
              <w:t>18</w:t>
            </w:r>
          </w:hyperlink>
        </w:p>
        <w:p>
          <w:pPr>
            <w:pStyle w:val="TOC2"/>
            <w:tabs>
              <w:tab w:val="clear" w:pos="9077"/>
              <w:tab w:val="right" w:pos="9359" w:leader="dot"/>
            </w:tabs>
            <w:rPr/>
          </w:pPr>
          <w:hyperlink w:anchor="__RefHeading___Toc2645_2115258294">
            <w:r>
              <w:rPr>
                <w:webHidden/>
                <w:rStyle w:val="IndexLink"/>
              </w:rPr>
              <w:t>4.4 Individualism — Forgetting the Shield Is Also Corporate</w:t>
              <w:tab/>
              <w:t>19</w:t>
            </w:r>
          </w:hyperlink>
        </w:p>
        <w:p>
          <w:pPr>
            <w:pStyle w:val="TOC2"/>
            <w:tabs>
              <w:tab w:val="clear" w:pos="9077"/>
              <w:tab w:val="right" w:pos="9359" w:leader="dot"/>
            </w:tabs>
            <w:rPr/>
          </w:pPr>
          <w:hyperlink w:anchor="__RefHeading___Toc2647_2115258294">
            <w:r>
              <w:rPr>
                <w:webHidden/>
                <w:rStyle w:val="IndexLink"/>
              </w:rPr>
              <w:t>4.5 Biblical Illiteracy</w:t>
              <w:tab/>
              <w:t>19</w:t>
            </w:r>
          </w:hyperlink>
        </w:p>
        <w:p>
          <w:pPr>
            <w:pStyle w:val="TOC2"/>
            <w:tabs>
              <w:tab w:val="clear" w:pos="9077"/>
              <w:tab w:val="right" w:pos="9359" w:leader="dot"/>
            </w:tabs>
            <w:rPr/>
          </w:pPr>
          <w:hyperlink w:anchor="__RefHeading___Toc2649_2115258294">
            <w:r>
              <w:rPr>
                <w:webHidden/>
                <w:rStyle w:val="IndexLink"/>
              </w:rPr>
              <w:t>4.6 A Therapeutic Christianity That Never Names the Battle</w:t>
              <w:tab/>
              <w:t>20</w:t>
            </w:r>
          </w:hyperlink>
        </w:p>
        <w:p>
          <w:pPr>
            <w:pStyle w:val="TOC1"/>
            <w:tabs>
              <w:tab w:val="clear" w:pos="9360"/>
              <w:tab w:val="right" w:pos="9359" w:leader="dot"/>
            </w:tabs>
            <w:rPr/>
          </w:pPr>
          <w:hyperlink w:anchor="__RefHeading___Toc2651_2115258294">
            <w:r>
              <w:rPr>
                <w:webHidden/>
                <w:rStyle w:val="IndexLink"/>
              </w:rPr>
              <w:t>Part Five: Helping a Believer Personally Develop and Use the Shield in Battle</w:t>
              <w:tab/>
              <w:t>20</w:t>
            </w:r>
          </w:hyperlink>
        </w:p>
        <w:p>
          <w:pPr>
            <w:pStyle w:val="TOC2"/>
            <w:tabs>
              <w:tab w:val="clear" w:pos="9077"/>
              <w:tab w:val="right" w:pos="9359" w:leader="dot"/>
            </w:tabs>
            <w:rPr/>
          </w:pPr>
          <w:hyperlink w:anchor="__RefHeading___Toc2653_2115258294">
            <w:r>
              <w:rPr>
                <w:webHidden/>
                <w:rStyle w:val="IndexLink"/>
              </w:rPr>
              <w:t>5.1 Build the Shield Before the Attack, Not During It</w:t>
              <w:tab/>
              <w:t>20</w:t>
            </w:r>
          </w:hyperlink>
        </w:p>
        <w:p>
          <w:pPr>
            <w:pStyle w:val="TOC2"/>
            <w:tabs>
              <w:tab w:val="clear" w:pos="9077"/>
              <w:tab w:val="right" w:pos="9359" w:leader="dot"/>
            </w:tabs>
            <w:rPr/>
          </w:pPr>
          <w:hyperlink w:anchor="__RefHeading___Toc2655_2115258294">
            <w:r>
              <w:rPr>
                <w:webHidden/>
                <w:rStyle w:val="IndexLink"/>
              </w:rPr>
              <w:t>5.2 Learn to Name the Specific Dart</w:t>
              <w:tab/>
              <w:t>20</w:t>
            </w:r>
          </w:hyperlink>
        </w:p>
        <w:p>
          <w:pPr>
            <w:pStyle w:val="TOC2"/>
            <w:tabs>
              <w:tab w:val="clear" w:pos="9077"/>
              <w:tab w:val="right" w:pos="9359" w:leader="dot"/>
            </w:tabs>
            <w:rPr/>
          </w:pPr>
          <w:hyperlink w:anchor="__RefHeading___Toc2657_2115258294">
            <w:r>
              <w:rPr>
                <w:webHidden/>
                <w:rStyle w:val="IndexLink"/>
              </w:rPr>
              <w:t>5.3 Answer the Specific Dart With a Specific Truth</w:t>
              <w:tab/>
              <w:t>20</w:t>
            </w:r>
          </w:hyperlink>
        </w:p>
        <w:p>
          <w:pPr>
            <w:pStyle w:val="TOC2"/>
            <w:tabs>
              <w:tab w:val="clear" w:pos="9077"/>
              <w:tab w:val="right" w:pos="9359" w:leader="dot"/>
            </w:tabs>
            <w:rPr/>
          </w:pPr>
          <w:hyperlink w:anchor="__RefHeading___Toc2659_2115258294">
            <w:r>
              <w:rPr>
                <w:webHidden/>
                <w:rStyle w:val="IndexLink"/>
              </w:rPr>
              <w:t>5.4 Keep a Record of Answered Prayer</w:t>
              <w:tab/>
              <w:t>21</w:t>
            </w:r>
          </w:hyperlink>
        </w:p>
        <w:p>
          <w:pPr>
            <w:pStyle w:val="TOC2"/>
            <w:tabs>
              <w:tab w:val="clear" w:pos="9077"/>
              <w:tab w:val="right" w:pos="9359" w:leader="dot"/>
            </w:tabs>
            <w:rPr/>
          </w:pPr>
          <w:hyperlink w:anchor="__RefHeading___Toc2661_2115258294">
            <w:r>
              <w:rPr>
                <w:webHidden/>
                <w:rStyle w:val="IndexLink"/>
              </w:rPr>
              <w:t>5.5 Practice Raising the Shield in Small Moments</w:t>
              <w:tab/>
              <w:t>21</w:t>
            </w:r>
          </w:hyperlink>
        </w:p>
        <w:p>
          <w:pPr>
            <w:pStyle w:val="TOC2"/>
            <w:tabs>
              <w:tab w:val="clear" w:pos="9077"/>
              <w:tab w:val="right" w:pos="9359" w:leader="dot"/>
            </w:tabs>
            <w:rPr/>
          </w:pPr>
          <w:hyperlink w:anchor="__RefHeading___Toc2663_2115258294">
            <w:r>
              <w:rPr>
                <w:webHidden/>
                <w:rStyle w:val="IndexLink"/>
              </w:rPr>
              <w:t>5.6 Do Not Fight Alone</w:t>
              <w:tab/>
              <w:t>22</w:t>
            </w:r>
          </w:hyperlink>
        </w:p>
        <w:p>
          <w:pPr>
            <w:pStyle w:val="TOC1"/>
            <w:tabs>
              <w:tab w:val="clear" w:pos="9360"/>
              <w:tab w:val="right" w:pos="9359" w:leader="dot"/>
            </w:tabs>
            <w:rPr/>
          </w:pPr>
          <w:hyperlink w:anchor="__RefHeading___Toc2665_2115258294">
            <w:r>
              <w:rPr>
                <w:webHidden/>
                <w:rStyle w:val="IndexLink"/>
              </w:rPr>
              <w:t>Part Six: Parallel Passages and Images of the Shield of Faith</w:t>
              <w:tab/>
              <w:t>22</w:t>
            </w:r>
          </w:hyperlink>
        </w:p>
        <w:p>
          <w:pPr>
            <w:pStyle w:val="TOC1"/>
            <w:tabs>
              <w:tab w:val="clear" w:pos="9360"/>
              <w:tab w:val="right" w:pos="9359" w:leader="dot"/>
            </w:tabs>
            <w:rPr/>
          </w:pPr>
          <w:hyperlink w:anchor="__RefHeading___Toc2667_2115258294">
            <w:r>
              <w:rPr>
                <w:webHidden/>
                <w:rStyle w:val="IndexLink"/>
              </w:rPr>
              <w:t>Part Seven: Additional Questions Worth Raising in This Discussion</w:t>
              <w:tab/>
              <w:t>26</w:t>
            </w:r>
          </w:hyperlink>
        </w:p>
        <w:p>
          <w:pPr>
            <w:pStyle w:val="TOC1"/>
            <w:tabs>
              <w:tab w:val="clear" w:pos="9360"/>
              <w:tab w:val="right" w:pos="9359" w:leader="dot"/>
            </w:tabs>
            <w:rPr/>
          </w:pPr>
          <w:hyperlink w:anchor="__RefHeading___Toc2669_2115258294">
            <w:r>
              <w:rPr>
                <w:webHidden/>
                <w:rStyle w:val="IndexLink"/>
              </w:rPr>
              <w:t>Summary of Key Ideas and Concepts</w:t>
              <w:tab/>
              <w:t>27</w:t>
            </w:r>
          </w:hyperlink>
        </w:p>
        <w:p>
          <w:pPr>
            <w:pStyle w:val="TOC1"/>
            <w:tabs>
              <w:tab w:val="clear" w:pos="9360"/>
              <w:tab w:val="right" w:pos="9359" w:leader="dot"/>
            </w:tabs>
            <w:rPr/>
          </w:pPr>
          <w:hyperlink w:anchor="__RefHeading___Toc2671_2115258294">
            <w:r>
              <w:rPr>
                <w:webHidden/>
                <w:rStyle w:val="IndexLink"/>
              </w:rPr>
              <w:t>Sources Consulted</w:t>
              <w:tab/>
              <w:t>28</w:t>
            </w:r>
          </w:hyperlink>
        </w:p>
        <w:p>
          <w:pPr>
            <w:pStyle w:val="TOC2"/>
            <w:tabs>
              <w:tab w:val="clear" w:pos="9077"/>
              <w:tab w:val="right" w:pos="9359" w:leader="dot"/>
            </w:tabs>
            <w:rPr/>
          </w:pPr>
          <w:hyperlink w:anchor="__RefHeading___Toc2673_2115258294">
            <w:r>
              <w:rPr>
                <w:webHidden/>
                <w:rStyle w:val="IndexLink"/>
              </w:rPr>
              <w:t>Directly Retrieved and Verified This Session</w:t>
              <w:tab/>
              <w:t>28</w:t>
            </w:r>
          </w:hyperlink>
          <w:r>
            <w:rPr>
              <w:rStyle w:val="IndexLink"/>
            </w:rPr>
            <w:fldChar w:fldCharType="end"/>
          </w:r>
        </w:p>
      </w:sdtContent>
    </w:sdt>
    <w:p>
      <w:pPr>
        <w:pStyle w:val="FirstParagraph"/>
        <w:rPr/>
      </w:pPr>
      <w:r>
        <w:rPr>
          <w:i/>
          <w:iCs/>
        </w:rPr>
        <w:t>Prepared by James King — Swamp Mennonite Church, Spiritual Battle Series, Leadership Presentation</w:t>
      </w:r>
      <w:r>
        <w:rPr/>
        <w:t xml:space="preserve"> </w:t>
      </w:r>
      <w:r>
        <w:rPr>
          <w:i/>
          <w:iCs/>
        </w:rPr>
        <w:t>September 2026</w:t>
      </w:r>
    </w:p>
    <w:p>
      <w:pPr>
        <w:pStyle w:val="Normal"/>
        <w:rPr/>
      </w:pPr>
      <w:r>
        <w:rPr/>
        <mc:AlternateContent>
          <mc:Choice Requires="wps">
            <w:drawing>
              <wp:inline distT="0" distB="0" distL="0" distR="0">
                <wp:extent cx="5943600" cy="19050"/>
                <wp:effectExtent l="0" t="0" r="0" b="0"/>
                <wp:docPr id="1" name=""/>
                <a:graphic xmlns:a="http://schemas.openxmlformats.org/drawingml/2006/main">
                  <a:graphicData uri="http://schemas.microsoft.com/office/word/2010/wordprocessingShape">
                    <wps:wsp>
                      <wps:cNvSpPr/>
                      <wps:nvSpPr>
                        <wps:cNvPr id="2" name=""/>
                        <wps:cNvSpPr/>
                      </wps:nvSpPr>
                      <wps:spPr>
                        <a:xfrm>
                          <a:off x="0" y="0"/>
                          <a:ext cx="5943600" cy="19080"/>
                        </a:xfrm>
                        <a:prstGeom prst="rect">
                          <a:avLst/>
                        </a:prstGeom>
                        <a:solidFill>
                          <a:srgbClr val="ffffff"/>
                        </a:solidFill>
                        <a:ln w="0">
                          <a:solidFill>
                            <a:srgbClr val="000000"/>
                          </a:solidFill>
                        </a:ln>
                      </wps:spPr>
                      <wps:bodyPr/>
                    </wps:wsp>
                  </a:graphicData>
                </a:graphic>
                <wp14:sizeRelH relativeFrom="page">
                  <wp14:pctWidth>100000</wp14:pctWidth>
                </wp14:sizeRelH>
              </wp:inline>
            </w:drawing>
          </mc:Choice>
          <mc:Fallback>
            <w:pict>
              <v:rect id="shape_0" fillcolor="white" stroked="t" o:allowincell="f" style="position:absolute;margin-left:0pt;margin-top:-1.55pt;width:467.95pt;height:1.45pt;mso-wrap-style:none;v-text-anchor:middle;mso-position-horizontal:center;mso-position-vertical:top">
                <v:fill o:detectmouseclick="t" type="solid" color2="black"/>
                <v:stroke color="black" joinstyle="round" endcap="flat"/>
                <w10:wrap type="topAndBottom"/>
              </v:rect>
            </w:pict>
          </mc:Fallback>
        </mc:AlternateContent>
      </w:r>
      <w:r>
        <w:br w:type="page"/>
      </w:r>
    </w:p>
    <w:p>
      <w:pPr>
        <w:pStyle w:val="Heading1"/>
        <w:rPr/>
      </w:pPr>
      <w:bookmarkStart w:id="0" w:name="__RefHeading___Toc2601_2115258294"/>
      <w:bookmarkStart w:id="1" w:name="executive-summary"/>
      <w:bookmarkEnd w:id="0"/>
      <w:r>
        <w:rPr/>
        <w:t>Executive Summary</w:t>
      </w:r>
    </w:p>
    <w:p>
      <w:pPr>
        <w:pStyle w:val="FirstParagraph"/>
        <w:rPr/>
      </w:pPr>
      <w:r>
        <w:rPr/>
        <w:t xml:space="preserve">Ephesians 6:16 makes a promise most congregations would affirm and few would claim to have experienced: “above all, taking the shield of faith with which you will be able to quench all the fiery darts of the wicked one.” Paul does not say the shield reduces the darts, or that it works on some of them. He says </w:t>
      </w:r>
      <w:r>
        <w:rPr>
          <w:i/>
          <w:iCs/>
        </w:rPr>
        <w:t>all</w:t>
      </w:r>
      <w:r>
        <w:rPr/>
        <w:t>. The gap between that sweeping promise and what the average believer actually reports about life under spiritual pressure is the problem this study exists to address. That gap is the diagnostic question leadership must answer honestly before deciding what to teach next.</w:t>
      </w:r>
    </w:p>
    <w:p>
      <w:pPr>
        <w:pStyle w:val="BlockText"/>
        <w:rPr/>
      </w:pPr>
      <w:r>
        <w:rPr>
          <w:b/>
          <w:bCs/>
        </w:rPr>
        <w:t>Ephesians 6:16 (NKJV):</w:t>
      </w:r>
      <w:r>
        <w:rPr/>
        <w:t xml:space="preserve"> “above all, taking the shield of faith with which you will be able to quench all the fiery darts of the wicked one.”</w:t>
      </w:r>
    </w:p>
    <w:p>
      <w:pPr>
        <w:pStyle w:val="BlockText"/>
        <w:rPr/>
      </w:pPr>
      <w:r>
        <w:rPr>
          <w:b/>
          <w:bCs/>
        </w:rPr>
        <w:t>Summary:</w:t>
      </w:r>
      <w:r>
        <w:rPr/>
        <w:t xml:space="preserve"> Paul promises that the shield of faith extinguishes every one of the enemy’s burning attacks, not merely some of them — a sweeping claim this study exists to help a congregation actually experience.</w:t>
      </w:r>
    </w:p>
    <w:p>
      <w:pPr>
        <w:pStyle w:val="FirstParagraph"/>
        <w:rPr/>
      </w:pPr>
      <w:r>
        <w:rPr/>
        <w:t>The argument of this study is that the gap is not chiefly a gap in sincerity or effort. It is a gap in definition. Most church members have absorbed a working definition of “faith” from somewhere other than Scripture — from therapeutic culture, from prosperity teaching, from vague religious sentiment, or from never having been taught at all — and that absorbed definition quietly governs how they live, whether or not it matches the answer they would give in a class.</w:t>
      </w:r>
    </w:p>
    <w:p>
      <w:pPr>
        <w:pStyle w:val="BodyText"/>
        <w:rPr/>
      </w:pPr>
      <w:r>
        <w:rPr/>
        <w:t>Part One establishes what Scripture itself means by faith, working from Hebrews 11:1 and the two nouns that carry its definition, ὑπόστασις and ἔλεγχος, and from πίστις as the New Testament uses it. The finding is that biblical faith is settled reliance on what God has actually said — the ground a person stands on, not a mood that visits on good days. Part Two traces how such faith is built: by the preached and heard word of God (Romans 10:14-17), by testing under real trial (James 1:2-3; 1 Peter 1:6-7), by asking for it in prayer (Luke 17:5; Mark 9:24), by deliberate remembrance (Psalm 77:11), and corporately (Hebrews 10:23-25). Part Three shows that faith is never a free-standing virtue: it is the means by which a believer was joined to Christ and continues to walk in Him (Galatians 3:26-27; Romans 13:14), so that growing the shield and growing in the knowledge of Christ are one project, not two. Part Four names the six distortions leadership is realistically working against. Part Five gives six concrete practices for a believer under attack. Parts Six and Seven supply the parallel Scripture and the open questions a leadership team should raise together.</w:t>
      </w:r>
    </w:p>
    <w:p>
      <w:pPr>
        <w:pStyle w:val="BodyText"/>
        <w:rPr/>
      </w:pPr>
      <w:r>
        <w:rPr/>
        <w:t>One correction runs through this revision and should be stated plainly at the outset. Earlier drafts in this series grounded the pastoral point of Romans 10:17 in a sharp contrast between ῥῆμα and λόγος — the specific spoken word versus the whole written word. That contrast does not survive contact with the lexicons, and Paul’s own usage cuts against it. The pastoral point is entirely sound and is retained; its footing has been moved to the actual argument of Romans 10:14-17.</w:t>
      </w:r>
    </w:p>
    <w:p>
      <w:pPr>
        <w:pStyle w:val="BodyText"/>
        <w:rPr/>
      </w:pPr>
      <w:r>
        <w:rPr/>
        <w:t>The bottom line for leadership: a congregation’s shield is built long before any given attack, by ordinary means the church already has in hand — Scripture preached and known, prayer, honest testimony, and members who do not fight alone. If those means are thin, no amount of exhortation to “have more faith” will thicken the shield.</w:t>
      </w:r>
    </w:p>
    <w:p>
      <w:pPr>
        <w:pStyle w:val="Normal"/>
        <w:rPr/>
      </w:pPr>
      <w:bookmarkStart w:id="2" w:name="executive-summary"/>
      <w:r>
        <w:rPr/>
        <mc:AlternateContent>
          <mc:Choice Requires="wps">
            <w:drawing>
              <wp:inline distT="0" distB="0" distL="0" distR="0">
                <wp:extent cx="5943600" cy="19050"/>
                <wp:effectExtent l="0" t="0" r="0" b="0"/>
                <wp:docPr id="3" name=""/>
                <a:graphic xmlns:a="http://schemas.openxmlformats.org/drawingml/2006/main">
                  <a:graphicData uri="http://schemas.microsoft.com/office/word/2010/wordprocessingShape">
                    <wps:wsp>
                      <wps:cNvSpPr/>
                      <wps:nvSpPr>
                        <wps:cNvPr id="4" name=""/>
                        <wps:cNvSpPr/>
                      </wps:nvSpPr>
                      <wps:spPr>
                        <a:xfrm>
                          <a:off x="0" y="0"/>
                          <a:ext cx="5943600" cy="19080"/>
                        </a:xfrm>
                        <a:prstGeom prst="rect">
                          <a:avLst/>
                        </a:prstGeom>
                        <a:solidFill>
                          <a:srgbClr val="ffffff"/>
                        </a:solidFill>
                        <a:ln w="0">
                          <a:solidFill>
                            <a:srgbClr val="000000"/>
                          </a:solidFill>
                        </a:ln>
                      </wps:spPr>
                      <wps:bodyPr/>
                    </wps:wsp>
                  </a:graphicData>
                </a:graphic>
                <wp14:sizeRelH relativeFrom="page">
                  <wp14:pctWidth>100000</wp14:pctWidth>
                </wp14:sizeRelH>
              </wp:inline>
            </w:drawing>
          </mc:Choice>
          <mc:Fallback>
            <w:pict>
              <v:rect id="shape_0" fillcolor="white" stroked="t" o:allowincell="f" style="position:absolute;margin-left:0pt;margin-top:-1.55pt;width:467.95pt;height:1.45pt;mso-wrap-style:none;v-text-anchor:middle;mso-position-horizontal:center;mso-position-vertical:top">
                <v:fill o:detectmouseclick="t" type="solid" color2="black"/>
                <v:stroke color="black" joinstyle="round" endcap="flat"/>
                <w10:wrap type="topAndBottom"/>
              </v:rect>
            </w:pict>
          </mc:Fallback>
        </mc:AlternateContent>
      </w:r>
      <w:bookmarkEnd w:id="2"/>
    </w:p>
    <w:p>
      <w:pPr>
        <w:pStyle w:val="Heading1"/>
        <w:rPr/>
      </w:pPr>
      <w:bookmarkStart w:id="3" w:name="__RefHeading___Toc2603_2115258294"/>
      <w:bookmarkStart w:id="4" w:name="note-to-church-leadership"/>
      <w:bookmarkEnd w:id="3"/>
      <w:r>
        <w:rPr/>
        <w:t>Note to Church Leadership</w:t>
      </w:r>
    </w:p>
    <w:p>
      <w:pPr>
        <w:pStyle w:val="FirstParagraph"/>
        <w:rPr/>
      </w:pPr>
      <w:r>
        <w:rPr/>
        <w:t>This study exists because a single verse — “Above all, taking the shield of faith with which you will be able to quench all the fiery darts of the wicked one” (Ephesians 6:16) — names both a promise and a diagnosis.</w:t>
      </w:r>
      <w:r>
        <w:rPr>
          <w:rStyle w:val="FootnoteReference"/>
        </w:rPr>
        <w:footnoteReference w:id="2"/>
      </w:r>
    </w:p>
    <w:p>
      <w:pPr>
        <w:pStyle w:val="BodyText"/>
        <w:rPr/>
      </w:pPr>
      <w:r>
        <w:rPr/>
        <w:t>The promise is that faith, rightly understood and rightly used, genuinely extinguishes the specific, sudden, burning attacks believers face. The diagnosis, implicit in how rarely that promise seems to be experienced in most congregations, is that many believers do not actually know what biblical faith is, how it is built, or how to raise it as a shield in the moment they need it most.</w:t>
      </w:r>
    </w:p>
    <w:p>
      <w:pPr>
        <w:pStyle w:val="BodyText"/>
        <w:rPr/>
      </w:pPr>
      <w:r>
        <w:rPr/>
        <w:t>That gap is not primarily a knowledge problem leadership can close with one more sermon. It is a worldview problem — most church members have absorbed a definition of “faith” from somewhere other than Scripture (from therapeutic culture, from prosperity teaching, from vague religious sentiment, or simply from never having been taught at all), and that absorbed definition quietly governs how they actually live, whether or not it matches what they would say if asked in a class. This study works through what Scripture actually teaches about faith, then names the competing definitions leadership is actually up against, so that teaching, preaching, and discipleship can be aimed at the real gap rather than an assumed one. A companion “Leadership Discussion Guide” applies this study directly to a leadership meeting, with diagnostic questions and practical next steps.</w:t>
      </w:r>
    </w:p>
    <w:p>
      <w:pPr>
        <w:pStyle w:val="BodyText"/>
        <w:rPr/>
      </w:pPr>
      <w:r>
        <w:rPr/>
        <w:t>A word on method. Every original-language word in this study is given in its own script, with a scholarly lexicon named and quoted. Where the best lexicon for a word is behind a paywall or available only in print, that is stated rather than papered over, and the entry is placed in the third tier of the “Sources Consulted” list at the end with a note that it should be independently confirmed before use in teaching. Where an earlier draft in this series made a claim that fuller research does not support, the correction is stated openly in the body or in a footnote, so that a leader who has heard the earlier version taught is not left confused.</w:t>
      </w:r>
    </w:p>
    <w:p>
      <w:pPr>
        <w:pStyle w:val="Normal"/>
        <w:rPr/>
      </w:pPr>
      <w:bookmarkStart w:id="5" w:name="note-to-church-leadership"/>
      <w:r>
        <w:rPr/>
        <mc:AlternateContent>
          <mc:Choice Requires="wps">
            <w:drawing>
              <wp:inline distT="0" distB="0" distL="0" distR="0">
                <wp:extent cx="5943600" cy="19050"/>
                <wp:effectExtent l="0" t="0" r="0" b="0"/>
                <wp:docPr id="5" name=""/>
                <a:graphic xmlns:a="http://schemas.openxmlformats.org/drawingml/2006/main">
                  <a:graphicData uri="http://schemas.microsoft.com/office/word/2010/wordprocessingShape">
                    <wps:wsp>
                      <wps:cNvSpPr/>
                      <wps:nvSpPr>
                        <wps:cNvPr id="6" name=""/>
                        <wps:cNvSpPr/>
                      </wps:nvSpPr>
                      <wps:spPr>
                        <a:xfrm>
                          <a:off x="0" y="0"/>
                          <a:ext cx="5943600" cy="19080"/>
                        </a:xfrm>
                        <a:prstGeom prst="rect">
                          <a:avLst/>
                        </a:prstGeom>
                        <a:solidFill>
                          <a:srgbClr val="ffffff"/>
                        </a:solidFill>
                        <a:ln w="0">
                          <a:solidFill>
                            <a:srgbClr val="000000"/>
                          </a:solidFill>
                        </a:ln>
                      </wps:spPr>
                      <wps:bodyPr/>
                    </wps:wsp>
                  </a:graphicData>
                </a:graphic>
                <wp14:sizeRelH relativeFrom="page">
                  <wp14:pctWidth>100000</wp14:pctWidth>
                </wp14:sizeRelH>
              </wp:inline>
            </w:drawing>
          </mc:Choice>
          <mc:Fallback>
            <w:pict>
              <v:rect id="shape_0" fillcolor="white" stroked="t" o:allowincell="f" style="position:absolute;margin-left:0pt;margin-top:-1.55pt;width:467.95pt;height:1.45pt;mso-wrap-style:none;v-text-anchor:middle;mso-position-horizontal:center;mso-position-vertical:top">
                <v:fill o:detectmouseclick="t" type="solid" color2="black"/>
                <v:stroke color="black" joinstyle="round" endcap="flat"/>
                <w10:wrap type="topAndBottom"/>
              </v:rect>
            </w:pict>
          </mc:Fallback>
        </mc:AlternateContent>
      </w:r>
      <w:bookmarkEnd w:id="5"/>
    </w:p>
    <w:p>
      <w:pPr>
        <w:pStyle w:val="Heading1"/>
        <w:rPr/>
      </w:pPr>
      <w:bookmarkStart w:id="6" w:name="__RefHeading___Toc2605_2115258294"/>
      <w:bookmarkStart w:id="7" w:name="part-one-what-is-faith"/>
      <w:bookmarkEnd w:id="6"/>
      <w:r>
        <w:rPr/>
        <w:t>Part One: What Is Faith?</w:t>
      </w:r>
    </w:p>
    <w:p>
      <w:pPr>
        <w:pStyle w:val="Heading2"/>
        <w:rPr/>
      </w:pPr>
      <w:bookmarkStart w:id="8" w:name="__RefHeading___Toc2607_2115258294"/>
      <w:bookmarkStart w:id="9" w:name="the-bibles-own-definition"/>
      <w:bookmarkEnd w:id="8"/>
      <w:r>
        <w:rPr/>
        <w:t>1.1 The Bible’s Own Definition</w:t>
      </w:r>
    </w:p>
    <w:p>
      <w:pPr>
        <w:pStyle w:val="FirstParagraph"/>
        <w:rPr/>
      </w:pPr>
      <w:r>
        <w:rPr/>
        <w:t>Scripture supplies its own definition of faith, and it is worth starting there rather than with a working assumption. The writer of Hebrews states it in a single sentence: “Now faith is the substance of things hoped for, the evidence of things not seen” (Hebrews 11:1).</w:t>
      </w:r>
    </w:p>
    <w:p>
      <w:pPr>
        <w:pStyle w:val="BlockText"/>
        <w:rPr/>
      </w:pPr>
      <w:r>
        <w:rPr>
          <w:b/>
          <w:bCs/>
        </w:rPr>
        <w:t>Hebrews 11:1 (NKJV):</w:t>
      </w:r>
      <w:r>
        <w:rPr/>
        <w:t xml:space="preserve"> “Now faith is the substance of things hoped for, the evidence of things not seen.”</w:t>
      </w:r>
    </w:p>
    <w:p>
      <w:pPr>
        <w:pStyle w:val="BlockText"/>
        <w:rPr/>
      </w:pPr>
      <w:r>
        <w:rPr>
          <w:b/>
          <w:bCs/>
        </w:rPr>
        <w:t>Summary:</w:t>
      </w:r>
      <w:r>
        <w:rPr/>
        <w:t xml:space="preserve"> The writer of Hebrews gives Scripture’s own definition of faith in a single sentence — the standing-ground for what is hoped for and the proof of what cannot yet be seen.</w:t>
      </w:r>
    </w:p>
    <w:p>
      <w:pPr>
        <w:pStyle w:val="FirstParagraph"/>
        <w:rPr/>
      </w:pPr>
      <w:r>
        <w:rPr/>
        <w:t>Five verses later he adds the stake: “But without faith it is impossible to please Him, for he who comes to God must believe that He is, and that He is a rewarder of those who diligently seek Him” (Hebrews 11:6).</w:t>
      </w:r>
    </w:p>
    <w:p>
      <w:pPr>
        <w:pStyle w:val="BlockText"/>
        <w:rPr/>
      </w:pPr>
      <w:r>
        <w:rPr>
          <w:b/>
          <w:bCs/>
        </w:rPr>
        <w:t>Hebrews 11:6 (NKJV):</w:t>
      </w:r>
      <w:r>
        <w:rPr/>
        <w:t xml:space="preserve"> “But without faith it is impossible to please Him, for he who comes to God must believe that He is, and that He is a rewarder of those who diligently seek Him.”</w:t>
      </w:r>
    </w:p>
    <w:p>
      <w:pPr>
        <w:pStyle w:val="BlockText"/>
        <w:rPr/>
      </w:pPr>
      <w:r>
        <w:rPr>
          <w:b/>
          <w:bCs/>
        </w:rPr>
        <w:t>Summary:</w:t>
      </w:r>
      <w:r>
        <w:rPr/>
        <w:t xml:space="preserve"> Hebrews supplies faith’s actual content — that God exists and rewards those who seek Him — proving that biblical faith always believes something specific about someone specific, never a mere attitude of openness.</w:t>
      </w:r>
    </w:p>
    <w:p>
      <w:pPr>
        <w:pStyle w:val="FirstParagraph"/>
        <w:rPr/>
      </w:pPr>
      <w:r>
        <w:rPr/>
        <w:t xml:space="preserve">Note carefully what verse 6 does. It defines the </w:t>
      </w:r>
      <w:r>
        <w:rPr>
          <w:i/>
          <w:iCs/>
        </w:rPr>
        <w:t>content</w:t>
      </w:r>
      <w:r>
        <w:rPr/>
        <w:t xml:space="preserve"> of faith in two parts — that God exists, and that He rewards those who seek Him — which means faith always has propositional content. It believes </w:t>
      </w:r>
      <w:r>
        <w:rPr>
          <w:i/>
          <w:iCs/>
        </w:rPr>
        <w:t>something specific</w:t>
      </w:r>
      <w:r>
        <w:rPr/>
        <w:t xml:space="preserve"> about </w:t>
      </w:r>
      <w:r>
        <w:rPr>
          <w:i/>
          <w:iCs/>
        </w:rPr>
        <w:t>someone specific</w:t>
      </w:r>
      <w:r>
        <w:rPr/>
        <w:t>. It is never merely an attitude of openness.</w:t>
      </w:r>
    </w:p>
    <w:p>
      <w:pPr>
        <w:pStyle w:val="BodyText"/>
        <w:rPr/>
      </w:pPr>
      <w:r>
        <w:rPr/>
        <w:t>Both key terms in verse 1 repay attention.</w:t>
      </w:r>
    </w:p>
    <w:p>
      <w:pPr>
        <w:pStyle w:val="BodyText"/>
        <w:rPr/>
      </w:pPr>
      <w:r>
        <w:rPr>
          <w:b/>
          <w:bCs/>
        </w:rPr>
        <w:t>Substance</w:t>
      </w:r>
      <w:r>
        <w:rPr/>
        <w:t xml:space="preserve"> translates ὑπόστασις, a compound formed from ὑπό (“under”) and the root of ἵστημι (“to stand”) — literally, “a standing under.” Mounce gives the gloss “confidence, trust, being sure; being, essence,” and the fuller definition “pr. a standing under; a taking of a thing upon one’s self; an assumed position… a pledged profession, Heb. 3:14; an assured impression, a mental realizing, Heb. 11:1; a substructure, basis; subsistence, essence, Heb. 1:3.”</w:t>
      </w:r>
      <w:r>
        <w:rPr>
          <w:rStyle w:val="FootnoteReference"/>
        </w:rPr>
        <w:footnoteReference w:id="3"/>
      </w:r>
      <w:r>
        <w:rPr/>
        <w:t xml:space="preserve"> The older lexicon of Thayer runs along the same lines, giving “a setting or placing under; thing put under, substructure, foundation,” and, for the personal senses, “steadiness of mind, firmness, courage resolution” and “confidence, firm trust, assurance,” listing Hebrews 11:1 among its examples.</w:t>
      </w:r>
      <w:r>
        <w:rPr>
          <w:rStyle w:val="FootnoteReference"/>
        </w:rPr>
        <w:footnoteReference w:id="4"/>
      </w:r>
    </w:p>
    <w:p>
      <w:pPr>
        <w:pStyle w:val="BodyText"/>
        <w:rPr/>
      </w:pPr>
      <w:r>
        <w:rPr/>
        <w:t xml:space="preserve">Faith, on this definition, is not a feeling floating above reality — it is the actual foundation something stands on. This is not incidental to the present series: the same root that gives us the command to </w:t>
      </w:r>
      <w:r>
        <w:rPr>
          <w:i/>
          <w:iCs/>
        </w:rPr>
        <w:t>stand</w:t>
      </w:r>
      <w:r>
        <w:rPr/>
        <w:t xml:space="preserve"> against the enemy (section 1.4 of the original “Spiritual Battle” study) also gives us this word in the Bible’s own definition of faith. Faith is what a person stands under, and stands on.</w:t>
      </w:r>
    </w:p>
    <w:p>
      <w:pPr>
        <w:pStyle w:val="BodyText"/>
        <w:rPr/>
      </w:pPr>
      <w:r>
        <w:rPr>
          <w:b/>
          <w:bCs/>
        </w:rPr>
        <w:t>Evidence</w:t>
      </w:r>
      <w:r>
        <w:rPr/>
        <w:t xml:space="preserve"> translates ἔλεγχος, which Thayer defines as “a proof, that by which a thing is proved or tested,” and, for the inward result of such proving, “conviction.”</w:t>
      </w:r>
      <w:r>
        <w:rPr>
          <w:rStyle w:val="FootnoteReference"/>
        </w:rPr>
        <w:footnoteReference w:id="5"/>
      </w:r>
      <w:r>
        <w:rPr/>
        <w:t xml:space="preserve"> The Greek of the verse is worth seeing whole: ὑπόστασις πραγμάτων… ἔλεγχος οὐ βλεπομένων — literally, “a standing-under of things hoped for, a proof of things not seen.” This is not a subjective hunch; it is closer to a legal or logical proof. Faith treats what God has said as established and settled, in the sense that a courtroom proof is settled, even while its full outworking remains unseen.</w:t>
      </w:r>
    </w:p>
    <w:p>
      <w:pPr>
        <w:pStyle w:val="BodyText"/>
        <w:rPr/>
      </w:pPr>
      <w:r>
        <w:rPr/>
        <w:t>Put together: biblical faith is neither wishful thinking about an uncertain future nor a psychological technique for generating confidence. It is settled reliance on what God has actually said, treated as the very ground one stands on, even before its fulfillment is visible.</w:t>
      </w:r>
    </w:p>
    <w:p>
      <w:pPr>
        <w:pStyle w:val="BodyText"/>
        <w:rPr/>
      </w:pPr>
      <w:r>
        <w:rPr>
          <w:b/>
          <w:bCs/>
        </w:rPr>
        <w:t>For teaching.</w:t>
      </w:r>
      <w:r>
        <w:rPr/>
        <w:t xml:space="preserve"> A useful way to put this to a class is that faith has a floor and a verdict. The floor is what you are standing on; the verdict is what you have already concluded is true. Neither one is a feeling. A person standing on a concrete floor is standing on it whether or not the floor feels reassuring that morning.</w:t>
      </w:r>
      <w:bookmarkEnd w:id="9"/>
    </w:p>
    <w:p>
      <w:pPr>
        <w:pStyle w:val="Heading2"/>
        <w:rPr/>
      </w:pPr>
      <w:bookmarkStart w:id="10" w:name="__RefHeading___Toc2609_2115258294"/>
      <w:bookmarkStart w:id="11" w:name="the-word-itself-πίστις"/>
      <w:bookmarkEnd w:id="10"/>
      <w:r>
        <w:rPr/>
        <w:t>1.2 The Word Itself: πίστις</w:t>
      </w:r>
    </w:p>
    <w:p>
      <w:pPr>
        <w:pStyle w:val="FirstParagraph"/>
        <w:rPr/>
      </w:pPr>
      <w:r>
        <w:rPr/>
        <w:t>The Greek noun behind “faith” throughout the New Testament, including Ephesians 6:16, is πίστις. Abbott-Smith arranges its senses in two groups: actively, “faith, belief, trust, confidence, in NT always of religious faith in God or Christ or spiritual things”; passively, “(a) fidelity, faithfulness” and “(b) objectively, plighted faith, a pledge of fidelity.” He further notes that the word can stand by metonymy for “that which is the object or content of belief, the faith.”</w:t>
      </w:r>
      <w:r>
        <w:rPr>
          <w:rStyle w:val="FootnoteReference"/>
        </w:rPr>
        <w:footnoteReference w:id="6"/>
      </w:r>
      <w:r>
        <w:rPr/>
        <w:t xml:space="preserve"> Mounce covers the same ground with a gloss that draws out the practical edge: “faith, faithfulness, belief, trust, with an implication that actions based on that trust may follow,” and a definition running “faith, belief, firm persuasion, 2 Cor. 5:7; Heb. 11:1; assurance, firm conviction, Rom. 14:23; ground of belief, guarantee, assurance, Acts 17:31; good faith, honesty, integrity, Mt. 23:23… faithfulness, truthfulness, Rom. 3:3.”</w:t>
      </w:r>
      <w:r>
        <w:rPr>
          <w:rStyle w:val="FootnoteReference"/>
        </w:rPr>
        <w:footnoteReference w:id="7"/>
      </w:r>
    </w:p>
    <w:p>
      <w:pPr>
        <w:pStyle w:val="BodyText"/>
        <w:rPr/>
      </w:pPr>
      <w:r>
        <w:rPr/>
        <w:t>Two things in those entries matter for a leadership team to grasp clearly.</w:t>
      </w:r>
    </w:p>
    <w:p>
      <w:pPr>
        <w:pStyle w:val="BodyText"/>
        <w:rPr/>
      </w:pPr>
      <w:r>
        <w:rPr/>
        <w:t>First, the same word family describes both God’s faithfulness to His promises and the believer’s faith in Him. Mounce’s entry lists Romans 3:3 — where πίστις denotes God’s own faithfulness — right alongside the passages where it denotes human trust.</w:t>
      </w:r>
    </w:p>
    <w:p>
      <w:pPr>
        <w:pStyle w:val="BlockText"/>
        <w:rPr/>
      </w:pPr>
      <w:r>
        <w:rPr>
          <w:b/>
          <w:bCs/>
        </w:rPr>
        <w:t>Romans 3:3 (NKJV):</w:t>
      </w:r>
      <w:r>
        <w:rPr/>
        <w:t xml:space="preserve"> “For what if some did not believe? Will their unbelief make the faithfulness of God without effect?”</w:t>
      </w:r>
    </w:p>
    <w:p>
      <w:pPr>
        <w:pStyle w:val="BlockText"/>
        <w:rPr/>
      </w:pPr>
      <w:r>
        <w:rPr>
          <w:b/>
          <w:bCs/>
        </w:rPr>
        <w:t>Summary:</w:t>
      </w:r>
      <w:r>
        <w:rPr/>
        <w:t xml:space="preserve"> Paul uses the same word family for God’s own reliability as for human believing, establishing that our trust is meant to answer His trustworthiness rather than operate as an independent force.</w:t>
      </w:r>
    </w:p>
    <w:p>
      <w:pPr>
        <w:pStyle w:val="FirstParagraph"/>
        <w:rPr/>
      </w:pPr>
      <w:r>
        <w:rPr/>
        <w:t>The two are meant to correspond: our trust answers His trustworthiness. Faith is not an independent force operating on its own account; it is the responsive side of a relationship in which the other party is reliable.</w:t>
      </w:r>
    </w:p>
    <w:p>
      <w:pPr>
        <w:pStyle w:val="BodyText"/>
        <w:rPr/>
      </w:pPr>
      <w:r>
        <w:rPr/>
        <w:t>Second, Mounce’s gloss ends with the clause “with an implication that actions based on that trust may follow.” Biblical faith is not inert. It is the kind of trust that changes what a person does. This is why James can say that faith without works is dead (James 2:26) without contradicting Paul: he is not adding works to faith as a second requirement, he is describing what real trust looks like from the outside.</w:t>
      </w:r>
    </w:p>
    <w:p>
      <w:pPr>
        <w:pStyle w:val="BlockText"/>
        <w:rPr/>
      </w:pPr>
      <w:r>
        <w:rPr>
          <w:b/>
          <w:bCs/>
        </w:rPr>
        <w:t>James 2:26 (NKJV):</w:t>
      </w:r>
      <w:r>
        <w:rPr/>
        <w:t xml:space="preserve"> “For as the body without the spirit is dead, so faith without works is dead also.”</w:t>
      </w:r>
    </w:p>
    <w:p>
      <w:pPr>
        <w:pStyle w:val="BlockText"/>
        <w:rPr/>
      </w:pPr>
      <w:r>
        <w:rPr>
          <w:b/>
          <w:bCs/>
        </w:rPr>
        <w:t>Summary:</w:t>
      </w:r>
      <w:r>
        <w:rPr/>
        <w:t xml:space="preserve"> James describes, rather than adds to, genuine faith — a body without a spirit and a faith without works are both, on his own terms, simply dead, not two separate requirements.</w:t>
      </w:r>
    </w:p>
    <w:p>
      <w:pPr>
        <w:pStyle w:val="FirstParagraph"/>
        <w:rPr/>
      </w:pPr>
      <w:r>
        <w:rPr/>
        <w:t>This directly rules out two popular but unbiblical shortcuts. Faith is not primarily an emotion (something one either “feels” or doesn’t on a given day) and it is not primarily a technique (something one performs correctly to produce a result). It is trust — specific, personal, reasoned trust — placed in a specific, personal, trustworthy God. The strength of a shield is not in the shield’s own material courage; it is in the reliability of what stands behind it.</w:t>
      </w:r>
    </w:p>
    <w:p>
      <w:pPr>
        <w:pStyle w:val="BodyText"/>
        <w:rPr/>
      </w:pPr>
      <w:r>
        <w:rPr/>
        <w:t>The standard advanced lexica for this word — BDAG, TDNT, and NIDNTTE — are behind paywalls or available only in print and were not consulted directly for this study. Their entries would deepen what is said here but should be independently confirmed before being quoted in teaching.</w:t>
      </w:r>
      <w:r>
        <w:rPr>
          <w:rStyle w:val="FootnoteReference"/>
        </w:rPr>
        <w:footnoteReference w:id="8"/>
      </w:r>
      <w:bookmarkEnd w:id="11"/>
    </w:p>
    <w:p>
      <w:pPr>
        <w:pStyle w:val="Heading2"/>
        <w:rPr/>
      </w:pPr>
      <w:bookmarkStart w:id="12" w:name="__RefHeading___Toc2611_2115258294"/>
      <w:bookmarkStart w:id="13" w:name="saving-faith-and-the-faith-that-fights"/>
      <w:bookmarkEnd w:id="12"/>
      <w:r>
        <w:rPr/>
        <w:t>1.3 Saving Faith and the Faith That Fights</w:t>
      </w:r>
    </w:p>
    <w:p>
      <w:pPr>
        <w:pStyle w:val="FirstParagraph"/>
        <w:rPr/>
      </w:pPr>
      <w:r>
        <w:rPr/>
        <w:t>Ephesians 2:8-9 states plainly that saving faith itself is “the gift of God, not of works, lest anyone should boast” — the initial trust that unites a sinner to Christ is not self-generated.</w:t>
      </w:r>
    </w:p>
    <w:p>
      <w:pPr>
        <w:pStyle w:val="BlockText"/>
        <w:rPr/>
      </w:pPr>
      <w:r>
        <w:rPr>
          <w:b/>
          <w:bCs/>
        </w:rPr>
        <w:t>Ephesians 2:8-9 (NKJV):</w:t>
      </w:r>
      <w:r>
        <w:rPr/>
        <w:t xml:space="preserve"> “For by grace you have been saved through faith, and that not of yourselves; it is the gift of God, not of works, lest anyone should boast.”</w:t>
      </w:r>
    </w:p>
    <w:p>
      <w:pPr>
        <w:pStyle w:val="BlockText"/>
        <w:rPr/>
      </w:pPr>
      <w:r>
        <w:rPr>
          <w:b/>
          <w:bCs/>
        </w:rPr>
        <w:t>Summary:</w:t>
      </w:r>
      <w:r>
        <w:rPr/>
        <w:t xml:space="preserve"> Paul states that the very faith that saves is itself God’s gift, not a self-generated achievement — meaning no believer manufactured their own starting trust in Christ.</w:t>
      </w:r>
    </w:p>
    <w:p>
      <w:pPr>
        <w:pStyle w:val="FirstParagraph"/>
        <w:rPr/>
      </w:pPr>
      <w:r>
        <w:rPr/>
        <w:t>Romans 12:3 then states that God has already “dealt to each one a measure of faith,” meaning no Christian stands at the shield of faith empty-handed; some real measure of it is already present the moment a person is in Christ.</w:t>
      </w:r>
    </w:p>
    <w:p>
      <w:pPr>
        <w:pStyle w:val="BlockText"/>
        <w:rPr/>
      </w:pPr>
      <w:r>
        <w:rPr>
          <w:b/>
          <w:bCs/>
        </w:rPr>
        <w:t>Romans 12:3 (NKJV):</w:t>
      </w:r>
      <w:r>
        <w:rPr/>
        <w:t xml:space="preserve"> “For I say, through the grace given to me, to everyone who is among you, not to think of himself more highly than he ought to think, but to think soberly, as God has dealt to each one a measure of faith.”</w:t>
      </w:r>
    </w:p>
    <w:p>
      <w:pPr>
        <w:pStyle w:val="BlockText"/>
        <w:rPr/>
      </w:pPr>
      <w:r>
        <w:rPr>
          <w:b/>
          <w:bCs/>
        </w:rPr>
        <w:t>Summary:</w:t>
      </w:r>
      <w:r>
        <w:rPr/>
        <w:t xml:space="preserve"> Paul states that God has already dealt a real measure of faith to every believer — no Christian is left standing at the shield of faith with nothing in hand.</w:t>
      </w:r>
    </w:p>
    <w:p>
      <w:pPr>
        <w:pStyle w:val="FirstParagraph"/>
        <w:rPr/>
      </w:pPr>
      <w:r>
        <w:rPr/>
        <w:t>But 2 Peter 1:5 immediately commands believers to “add to your faith virtue” — the same faith that saves is also a faith that grows, strengthens, and is meant to be actively developed rather than left at its starting measure.</w:t>
      </w:r>
    </w:p>
    <w:p>
      <w:pPr>
        <w:pStyle w:val="BlockText"/>
        <w:rPr/>
      </w:pPr>
      <w:r>
        <w:rPr>
          <w:b/>
          <w:bCs/>
        </w:rPr>
        <w:t>2 Peter 1:5 (NKJV):</w:t>
      </w:r>
      <w:r>
        <w:rPr/>
        <w:t xml:space="preserve"> “But also for this very reason, giving all diligence, add to your faith virtue, to virtue knowledge,”</w:t>
      </w:r>
    </w:p>
    <w:p>
      <w:pPr>
        <w:pStyle w:val="BlockText"/>
        <w:rPr/>
      </w:pPr>
      <w:r>
        <w:rPr>
          <w:b/>
          <w:bCs/>
        </w:rPr>
        <w:t>Summary:</w:t>
      </w:r>
      <w:r>
        <w:rPr/>
        <w:t xml:space="preserve"> Peter commands believers to actively build onto their existing faith — the same faith that saves is meant to grow, not remain at its starting measure.</w:t>
      </w:r>
    </w:p>
    <w:p>
      <w:pPr>
        <w:pStyle w:val="FirstParagraph"/>
        <w:rPr/>
      </w:pPr>
      <w:r>
        <w:rPr/>
        <w:t>The shield believers raise in spiritual battle is not a different faith than the faith that first saved them. It is that same faith, exercised, fed, and matured specifically for conflict. This has a direct pastoral consequence: a believer who is genuinely converted is not waiting to receive a shield. They are being asked to lift and use one they already have.</w:t>
      </w:r>
    </w:p>
    <w:p>
      <w:pPr>
        <w:pStyle w:val="BodyText"/>
        <w:rPr/>
      </w:pPr>
      <w:r>
        <w:rPr/>
        <w:t>Systematic theology has long analyzed saving faith into three components — knowledge of the facts, agreement that they are true, and personal trust in the person they concern. This threefold analysis is commonly associated with Wayne Grudem’s treatment of conversion. It was located for this study only through a secondary summary rather than direct reading of the volume, and should be independently confirmed before use in teaching.</w:t>
      </w:r>
      <w:r>
        <w:rPr>
          <w:rStyle w:val="FootnoteReference"/>
        </w:rPr>
        <w:footnoteReference w:id="9"/>
      </w:r>
      <w:bookmarkEnd w:id="13"/>
    </w:p>
    <w:p>
      <w:pPr>
        <w:pStyle w:val="Heading2"/>
        <w:rPr/>
      </w:pPr>
      <w:bookmarkStart w:id="14" w:name="__RefHeading___Toc2613_2115258294"/>
      <w:bookmarkStart w:id="15" w:name="X1a5b976b40f9918cb51932d4e51a5caddd6e9b7"/>
      <w:bookmarkEnd w:id="14"/>
      <w:r>
        <w:rPr/>
        <w:t>1.4 Faith’s Object, Not Faith’s Intensity, Is What Matters</w:t>
      </w:r>
    </w:p>
    <w:p>
      <w:pPr>
        <w:pStyle w:val="FirstParagraph"/>
        <w:rPr/>
      </w:pPr>
      <w:r>
        <w:rPr/>
        <w:t>Jesus told His disciples that “if you have faith as a mustard seed, you can say to this mountain, ‘Move from here to there,’ and it will move” (Matthew 17:20), and repeated the image in Luke: “If you have faith as a mustard seed, you can say to this mulberry tree, ‘Be pulled up by the roots and be planted in the sea,’ and it would obey you” (Luke 17:6).</w:t>
      </w:r>
    </w:p>
    <w:p>
      <w:pPr>
        <w:pStyle w:val="BlockText"/>
        <w:rPr/>
      </w:pPr>
      <w:r>
        <w:rPr>
          <w:b/>
          <w:bCs/>
        </w:rPr>
        <w:t>Matthew 17:20 (NKJV):</w:t>
      </w:r>
      <w:r>
        <w:rPr/>
        <w:t xml:space="preserve"> “So Jesus said to them, ‘Because of your unbelief; for assuredly, I say to you, if you have faith as a mustard seed, you will say to this mountain, “Move from here to there,” and it will move; and nothing will be impossible for you.’”</w:t>
      </w:r>
    </w:p>
    <w:p>
      <w:pPr>
        <w:pStyle w:val="BlockText"/>
        <w:rPr/>
      </w:pPr>
      <w:r>
        <w:rPr>
          <w:b/>
          <w:bCs/>
        </w:rPr>
        <w:t>Summary:</w:t>
      </w:r>
      <w:r>
        <w:rPr/>
        <w:t xml:space="preserve"> Jesus locates the power in the smallness of genuine faith rather than in its intensity — even mustard-seed-sized faith, placed rightly, is enough to move a mountain.</w:t>
      </w:r>
    </w:p>
    <w:p>
      <w:pPr>
        <w:pStyle w:val="BlockText"/>
        <w:rPr/>
      </w:pPr>
      <w:r>
        <w:rPr>
          <w:b/>
          <w:bCs/>
        </w:rPr>
        <w:t>Luke 17:6 (NKJV):</w:t>
      </w:r>
      <w:r>
        <w:rPr/>
        <w:t xml:space="preserve"> “So the Lord said, ‘If you have faith as a mustard seed, you can say to this mulberry tree, “Be pulled up by the roots and be planted in the sea,” and it would obey you.’”</w:t>
      </w:r>
    </w:p>
    <w:p>
      <w:pPr>
        <w:pStyle w:val="BlockText"/>
        <w:rPr/>
      </w:pPr>
      <w:r>
        <w:rPr>
          <w:b/>
          <w:bCs/>
        </w:rPr>
        <w:t>Summary:</w:t>
      </w:r>
      <w:r>
        <w:rPr/>
        <w:t xml:space="preserve"> Jesus repeats the same mustard-seed image for the disciples’ own request for more faith, redirecting their attention away from the size of their believing and toward the God they are believing in.</w:t>
      </w:r>
    </w:p>
    <w:p>
      <w:pPr>
        <w:pStyle w:val="FirstParagraph"/>
        <w:rPr/>
      </w:pPr>
      <w:r>
        <w:rPr/>
        <w:t xml:space="preserve">The point is not that faith works like a magic quantity that must reach a threshold. It is the opposite: even the smallest genuine faith, placed in the right object, accomplishes what enormous confidence placed in the wrong object never could. Notice that in both passages Jesus answers a request for </w:t>
      </w:r>
      <w:r>
        <w:rPr>
          <w:i/>
          <w:iCs/>
        </w:rPr>
        <w:t>more</w:t>
      </w:r>
      <w:r>
        <w:rPr/>
        <w:t xml:space="preserve"> faith by pointing to the smallness of a mustard seed. He is redirecting the disciples’ attention away from the measure of their believing and toward the God they are believing in.</w:t>
      </w:r>
    </w:p>
    <w:p>
      <w:pPr>
        <w:pStyle w:val="BodyText"/>
        <w:rPr/>
      </w:pPr>
      <w:bookmarkStart w:id="16" w:name="X1a5b976b40f9918cb51932d4e51a5caddd6e9b7"/>
      <w:r>
        <w:rPr/>
        <w:t>This matters directly for someone who feels their faith is too weak to function as a shield in the heat of battle. The shield’s strength was never about the size of the believer’s confidence; it is about the size and trustworthiness of the God that confidence is aimed at. A thin sheet of steel held by a frightened man still stops an arrow.</w:t>
      </w:r>
      <w:bookmarkEnd w:id="16"/>
    </w:p>
    <w:p>
      <w:pPr>
        <w:pStyle w:val="Heading2"/>
        <w:rPr/>
      </w:pPr>
      <w:bookmarkStart w:id="17" w:name="__RefHeading___Toc2615_2115258294"/>
      <w:bookmarkStart w:id="18" w:name="the-shield-itself-θυρεός"/>
      <w:bookmarkEnd w:id="17"/>
      <w:r>
        <w:rPr/>
        <w:t>1.5 The Shield Itself: θυρεός</w:t>
      </w:r>
    </w:p>
    <w:p>
      <w:pPr>
        <w:pStyle w:val="FirstParagraph"/>
        <w:rPr/>
      </w:pPr>
      <w:r>
        <w:rPr/>
        <w:t>Paul’s choice of noun in Ephesians 6:16 carries the argument, and it is worth establishing carefully, because this is a point often asserted from the pulpit without a citation attached.</w:t>
      </w:r>
    </w:p>
    <w:p>
      <w:pPr>
        <w:pStyle w:val="BodyText"/>
        <w:rPr/>
      </w:pPr>
      <w:r>
        <w:rPr/>
        <w:t>The Greek is θυρεόν, the accusative of θυρεός.</w:t>
      </w:r>
      <w:r>
        <w:rPr>
          <w:rStyle w:val="FootnoteReference"/>
        </w:rPr>
        <w:footnoteReference w:id="10"/>
      </w:r>
      <w:r>
        <w:rPr/>
        <w:t xml:space="preserve"> Liddell-Scott-Jones gives two senses: first, “a stone put against a door to keep it shut,” the Homeric usage; second, in later Greek, an “oblong shield (shaped like a door)… of the Roman scutum (opp. ἀσπίς, = clipeus).”</w:t>
      </w:r>
      <w:r>
        <w:rPr>
          <w:rStyle w:val="FootnoteReference"/>
        </w:rPr>
        <w:footnoteReference w:id="11"/>
      </w:r>
      <w:r>
        <w:rPr/>
        <w:t xml:space="preserve"> Abbott-Smith gives the same development in briefer form: “(&lt; θύρα), [in LXX for H4043, H6793;] 1. in Hom., a door-stone. 2. In late Gk. (Polyb., Plut.), the scutum, a large oblong shield.”</w:t>
      </w:r>
      <w:r>
        <w:rPr>
          <w:rStyle w:val="FootnoteReference"/>
        </w:rPr>
        <w:footnoteReference w:id="12"/>
      </w:r>
      <w:r>
        <w:rPr/>
        <w:t xml:space="preserve"> Vincent’s Word Studies puts the etymology in one line: “Θυρεόν shield, is from θύρα door, because shaped like a door.”</w:t>
      </w:r>
      <w:r>
        <w:rPr>
          <w:rStyle w:val="FootnoteReference"/>
        </w:rPr>
        <w:footnoteReference w:id="13"/>
      </w:r>
    </w:p>
    <w:p>
      <w:pPr>
        <w:pStyle w:val="BodyText"/>
        <w:rPr/>
      </w:pPr>
      <w:r>
        <w:rPr/>
        <w:t>Three observations follow, and they should be made in this order when teaching.</w:t>
      </w:r>
    </w:p>
    <w:p>
      <w:pPr>
        <w:pStyle w:val="BodyText"/>
        <w:rPr/>
      </w:pPr>
      <w:r>
        <w:rPr/>
        <w:t xml:space="preserve">First, θυρεός is not the small round shield. Greek had a separate word for that, ἀσπίς, corresponding to the Latin </w:t>
      </w:r>
      <w:r>
        <w:rPr>
          <w:i/>
          <w:iCs/>
        </w:rPr>
        <w:t>clipeus</w:t>
      </w:r>
      <w:r>
        <w:rPr/>
        <w:t>, and LSJ explicitly sets θυρεός in opposition to it. Paul chose the word for the full-body shield. The believer is not issued a buckler for parrying; he is issued a door.</w:t>
      </w:r>
    </w:p>
    <w:p>
      <w:pPr>
        <w:pStyle w:val="BodyText"/>
        <w:rPr/>
      </w:pPr>
      <w:r>
        <w:rPr/>
        <w:t xml:space="preserve">Second, the word Paul chose is the one the Septuagint translators used for both of the standard Hebrew shield-words, </w:t>
      </w:r>
      <w:r>
        <w:rPr>
          <w:rtl w:val="true"/>
        </w:rPr>
        <w:t>מָגֵן</w:t>
      </w:r>
      <w:r>
        <w:rPr/>
        <w:t xml:space="preserve"> </w:t>
      </w:r>
      <w:r>
        <w:rPr/>
        <w:t xml:space="preserve">and </w:t>
      </w:r>
      <w:r>
        <w:rPr>
          <w:rtl w:val="true"/>
        </w:rPr>
        <w:t>צִנָּה</w:t>
      </w:r>
      <w:r>
        <w:rPr/>
        <w:t>, as Abbott-Smith’s bracketed note records. This connects Ephesians 6:16 directly to the Old Testament texts gathered in Part Six below. When Paul says “shield,” a reader formed by the Greek Old Testament hears Genesis 15:1 and the Psalms.</w:t>
      </w:r>
    </w:p>
    <w:p>
      <w:pPr>
        <w:pStyle w:val="BodyText"/>
        <w:rPr/>
      </w:pPr>
      <w:r>
        <w:rPr/>
        <w:t>Third, the darts. The verse describes them as πεπυρωμένα βέλη — βέλη, “arrows” or “missiles,” modified by a perfect passive participle of πυρόω, “having been set on fire.”</w:t>
      </w:r>
      <w:r>
        <w:rPr>
          <w:rStyle w:val="FootnoteReference"/>
        </w:rPr>
        <w:footnoteReference w:id="14"/>
      </w:r>
      <w:r>
        <w:rPr/>
        <w:t xml:space="preserve"> Albert Barnes describes the ancient weapon concretely: they were “small, slender pieces of cane, which were filled with combustible materials, and set on fire.”</w:t>
      </w:r>
      <w:r>
        <w:rPr>
          <w:rStyle w:val="FootnoteReference"/>
        </w:rPr>
        <w:footnoteReference w:id="15"/>
      </w:r>
      <w:r>
        <w:rPr/>
        <w:t xml:space="preserve"> The verb of the promise is σβέσαι, an aorist active infinitive of σβέννυμι, which Abbott-Smith glosses “of fire or things on fire, to quench,” listing Matthew 12:20, Ephesians 6:16, and Hebrews 11:34, and noting a metaphorical sense “to suppress, stifle” at 1 Thessalonians 5:19.</w:t>
      </w:r>
      <w:r>
        <w:rPr>
          <w:rStyle w:val="FootnoteReference"/>
        </w:rPr>
        <w:footnoteReference w:id="16"/>
      </w:r>
      <w:r>
        <w:rPr/>
        <w:t xml:space="preserve"> LSJ gives “quench, put out” and, figuratively, “quench, quell, check.”</w:t>
      </w:r>
      <w:r>
        <w:rPr>
          <w:rStyle w:val="FootnoteReference"/>
        </w:rPr>
        <w:footnoteReference w:id="17"/>
      </w:r>
    </w:p>
    <w:p>
      <w:pPr>
        <w:pStyle w:val="BodyText"/>
        <w:rPr/>
      </w:pPr>
      <w:r>
        <w:rPr/>
        <w:t>The picture is therefore not deflection but extinction. A dart that glances off a shield is still burning. The promise of Ephesians 6:16 is that the shield of faith puts the fire out. That is a stronger claim than most believers realize they have been given, and it is worth saying so from the front.</w:t>
      </w:r>
    </w:p>
    <w:p>
      <w:pPr>
        <w:pStyle w:val="BodyText"/>
        <w:rPr/>
      </w:pPr>
      <w:r>
        <w:rPr>
          <w:b/>
          <w:bCs/>
        </w:rPr>
        <w:t>A note on the Old Testament background of the armor.</w:t>
      </w:r>
      <w:r>
        <w:rPr/>
        <w:t xml:space="preserve"> The breastplate and helmet of Ephesians 6:14 and 6:17 are drawn from Isaiah’s description of the LORD Himself arming for battle: “For He put on righteousness as a breastplate, And a helmet of salvation on His head; He put on the garments of vengeance for clothing, And was clad with zeal as a cloak” (Isaiah 59:17).</w:t>
      </w:r>
    </w:p>
    <w:p>
      <w:pPr>
        <w:pStyle w:val="BlockText"/>
        <w:rPr/>
      </w:pPr>
      <w:r>
        <w:rPr>
          <w:b/>
          <w:bCs/>
        </w:rPr>
        <w:t>Isaiah 59:17 (NKJV):</w:t>
      </w:r>
      <w:r>
        <w:rPr/>
        <w:t xml:space="preserve"> “For He put on righteousness as a breastplate, And a helmet of salvation on His head; He put on the garments of vengeance for clothing, And was clad with zeal as a cloak.”</w:t>
      </w:r>
    </w:p>
    <w:p>
      <w:pPr>
        <w:pStyle w:val="BlockText"/>
        <w:rPr/>
      </w:pPr>
      <w:r>
        <w:rPr>
          <w:b/>
          <w:bCs/>
        </w:rPr>
        <w:t>Summary:</w:t>
      </w:r>
      <w:r>
        <w:rPr/>
        <w:t xml:space="preserve"> Isaiah pictures the LORD Himself putting on the very armor pieces Paul later lists — establishing that the armor of God is not a set of virtues believers manufacture but God’s own equipment, shared with His people.</w:t>
      </w:r>
    </w:p>
    <w:p>
      <w:pPr>
        <w:pStyle w:val="FirstParagraph"/>
        <w:rPr/>
      </w:pPr>
      <w:r>
        <w:rPr/>
        <w:t>This is worth naming in teaching, because it establishes that the armor is not a set of virtues the believer manufactures. It is God’s own armor, shared.</w:t>
      </w:r>
      <w:r>
        <w:rPr>
          <w:rStyle w:val="FootnoteReference"/>
        </w:rPr>
        <w:footnoteReference w:id="18"/>
      </w:r>
    </w:p>
    <w:p>
      <w:pPr>
        <w:pStyle w:val="Normal"/>
        <w:rPr/>
      </w:pPr>
      <w:bookmarkStart w:id="19" w:name="part-one-what-is-faith"/>
      <w:bookmarkStart w:id="20" w:name="the-shield-itself-θυρεός"/>
      <w:r>
        <w:rPr/>
        <mc:AlternateContent>
          <mc:Choice Requires="wps">
            <w:drawing>
              <wp:inline distT="0" distB="0" distL="0" distR="0">
                <wp:extent cx="5943600" cy="19050"/>
                <wp:effectExtent l="0" t="0" r="0" b="0"/>
                <wp:docPr id="7" name=""/>
                <a:graphic xmlns:a="http://schemas.openxmlformats.org/drawingml/2006/main">
                  <a:graphicData uri="http://schemas.microsoft.com/office/word/2010/wordprocessingShape">
                    <wps:wsp>
                      <wps:cNvSpPr/>
                      <wps:nvSpPr>
                        <wps:cNvPr id="8" name=""/>
                        <wps:cNvSpPr/>
                      </wps:nvSpPr>
                      <wps:spPr>
                        <a:xfrm>
                          <a:off x="0" y="0"/>
                          <a:ext cx="5943600" cy="19080"/>
                        </a:xfrm>
                        <a:prstGeom prst="rect">
                          <a:avLst/>
                        </a:prstGeom>
                        <a:solidFill>
                          <a:srgbClr val="ffffff"/>
                        </a:solidFill>
                        <a:ln w="0">
                          <a:solidFill>
                            <a:srgbClr val="000000"/>
                          </a:solidFill>
                        </a:ln>
                      </wps:spPr>
                      <wps:bodyPr/>
                    </wps:wsp>
                  </a:graphicData>
                </a:graphic>
                <wp14:sizeRelH relativeFrom="page">
                  <wp14:pctWidth>100000</wp14:pctWidth>
                </wp14:sizeRelH>
              </wp:inline>
            </w:drawing>
          </mc:Choice>
          <mc:Fallback>
            <w:pict>
              <v:rect id="shape_0" fillcolor="white" stroked="t" o:allowincell="f" style="position:absolute;margin-left:0pt;margin-top:-1.55pt;width:467.95pt;height:1.45pt;mso-wrap-style:none;v-text-anchor:middle;mso-position-horizontal:center;mso-position-vertical:top">
                <v:fill o:detectmouseclick="t" type="solid" color2="black"/>
                <v:stroke color="black" joinstyle="round" endcap="flat"/>
                <w10:wrap type="topAndBottom"/>
              </v:rect>
            </w:pict>
          </mc:Fallback>
        </mc:AlternateContent>
      </w:r>
      <w:bookmarkEnd w:id="19"/>
      <w:bookmarkEnd w:id="20"/>
    </w:p>
    <w:p>
      <w:pPr>
        <w:pStyle w:val="Heading1"/>
        <w:rPr/>
      </w:pPr>
      <w:bookmarkStart w:id="21" w:name="__RefHeading___Toc2617_2115258294"/>
      <w:bookmarkStart w:id="22" w:name="part-two-how-to-strengthen-faith"/>
      <w:bookmarkEnd w:id="21"/>
      <w:r>
        <w:rPr/>
        <w:t>Part Two: How to Strengthen Faith</w:t>
      </w:r>
    </w:p>
    <w:p>
      <w:pPr>
        <w:pStyle w:val="Heading2"/>
        <w:rPr/>
      </w:pPr>
      <w:bookmarkStart w:id="23" w:name="__RefHeading___Toc2619_2115258294"/>
      <w:bookmarkStart w:id="24" w:name="Xcccaccfbd0c66e9e1f2e2d6e4edc47344012259"/>
      <w:bookmarkEnd w:id="23"/>
      <w:r>
        <w:rPr/>
        <w:t>2.1 Faith Comes by Hearing the Preached Word — Romans 10:14-17 in Context</w:t>
      </w:r>
    </w:p>
    <w:p>
      <w:pPr>
        <w:pStyle w:val="FirstParagraph"/>
        <w:rPr/>
      </w:pPr>
      <w:r>
        <w:rPr/>
        <w:t>Romans 10:17 states the mechanism plainly: “So then faith comes by hearing, and hearing by the word of God.” That single sentence, however, is the conclusion of a chain of rhetorical questions, and it cannot be read rightly apart from them:</w:t>
      </w:r>
    </w:p>
    <w:p>
      <w:pPr>
        <w:pStyle w:val="BlockText"/>
        <w:rPr/>
      </w:pPr>
      <w:r>
        <w:rPr/>
        <w:t>“</w:t>
      </w:r>
      <w:r>
        <w:rPr/>
        <w:t>How then shall they call on Him in whom they have not believed? And how shall they believe in Him of whom they have not heard? And how shall they hear without a preacher? And how shall they preach unless they are sent? As it is written: ‘How beautiful are the feet of those who preach the gospel of peace, Who bring glad tidings of good things!’ But they have not all obeyed the gospel. For Isaiah says, ‘Lord, who has believed our report?’ So then faith comes by hearing, and hearing by the word of God.” (Romans 10:14-17)</w:t>
      </w:r>
    </w:p>
    <w:p>
      <w:pPr>
        <w:pStyle w:val="BlockText"/>
        <w:rPr/>
      </w:pPr>
      <w:r>
        <w:rPr>
          <w:b/>
          <w:bCs/>
        </w:rPr>
        <w:t>Romans 10:14-17 (NKJV):</w:t>
      </w:r>
      <w:r>
        <w:rPr/>
        <w:t xml:space="preserve"> “How then shall they call on Him in whom they have not believed? And how shall they believe in Him of whom they have not heard? And how shall they hear without a preacher? And how shall they preach unless they are sent? As it is written: ‘How beautiful are the feet of those who preach the gospel of peace, Who bring glad tidings of good things!’ But they have not all obeyed the gospel. For Isaiah says, ‘Lord, who has believed our report?’ So then faith comes by hearing, and hearing by the word of God.”</w:t>
      </w:r>
    </w:p>
    <w:p>
      <w:pPr>
        <w:pStyle w:val="BlockText"/>
        <w:rPr/>
      </w:pPr>
      <w:r>
        <w:rPr>
          <w:b/>
          <w:bCs/>
        </w:rPr>
        <w:t>Summary:</w:t>
      </w:r>
      <w:r>
        <w:rPr/>
        <w:t xml:space="preserve"> Paul argues backward from calling on the Lord to the sending of preachers, showing that faith does not arise from religious atmosphere but from a specific, announced message actually heard.</w:t>
      </w:r>
    </w:p>
    <w:p>
      <w:pPr>
        <w:pStyle w:val="FirstParagraph"/>
        <w:rPr/>
      </w:pPr>
      <w:r>
        <w:rPr/>
        <w:t xml:space="preserve">Paul is arguing backward from the act of calling on the Lord to the sending of preachers. Calling requires believing; believing requires hearing; hearing requires a preacher; preaching requires sending. Verse 17 gathers the chain into a summary: faith arises out of hearing, and the hearing in question is hearing </w:t>
      </w:r>
      <w:r>
        <w:rPr>
          <w:i/>
          <w:iCs/>
        </w:rPr>
        <w:t>the word of God</w:t>
      </w:r>
      <w:r>
        <w:rPr/>
        <w:t xml:space="preserve"> — that is, the specific message about Christ that a sent messenger actually announces and a hearer actually receives.</w:t>
      </w:r>
    </w:p>
    <w:p>
      <w:pPr>
        <w:pStyle w:val="BodyText"/>
        <w:rPr/>
      </w:pPr>
      <w:r>
        <w:rPr/>
        <w:t>The Greek word behind “word” in verse 17 is ῥῆμα (in the genitive, ῥήματος). There is a textual variant here: the critical text reads διὰ ῥήματος Χριστοῦ, “the word of Christ,” while the Byzantine and Textus Receptus tradition, which the NKJV follows, reads ῥήματος θεοῦ, “the word of God.”</w:t>
      </w:r>
      <w:r>
        <w:rPr>
          <w:rStyle w:val="FootnoteReference"/>
        </w:rPr>
        <w:footnoteReference w:id="19"/>
      </w:r>
      <w:r>
        <w:rPr/>
        <w:t xml:space="preserve"> Either reading points the same direction — a specific, announced message with definite content.</w:t>
      </w:r>
    </w:p>
    <w:p>
      <w:pPr>
        <w:pStyle w:val="BodyText"/>
        <w:rPr/>
      </w:pPr>
      <w:r>
        <w:rPr>
          <w:b/>
          <w:bCs/>
        </w:rPr>
        <w:t>A correction this series must make.</w:t>
      </w:r>
      <w:r>
        <w:rPr/>
        <w:t xml:space="preserve"> Earlier drafts in this series leaned the pastoral point of Romans 10:17 on a sharp contrast between ῥῆμα, understood as the specific, spoken, in-the-moment word, and λόγος, understood as the whole written word. </w:t>
      </w:r>
      <w:r>
        <w:rPr>
          <w:b/>
          <w:bCs/>
        </w:rPr>
        <w:t>That contrast is not supported by the lexicons, and it should not be taught.</w:t>
      </w:r>
    </w:p>
    <w:p>
      <w:pPr>
        <w:pStyle w:val="BodyText"/>
        <w:rPr/>
      </w:pPr>
      <w:r>
        <w:rPr/>
        <w:t>The evidence is straightforward. Mounce glosses ῥῆμα as “word, saying; matter; thing,” with the fuller definition “that which is spoken; declaration, saying, speech, word… a command, mandate, direction… a promise… a prediction, prophecy… a doctrine of God or Christ.”</w:t>
      </w:r>
      <w:r>
        <w:rPr>
          <w:rStyle w:val="FootnoteReference"/>
        </w:rPr>
        <w:footnoteReference w:id="20"/>
      </w:r>
      <w:r>
        <w:rPr/>
        <w:t xml:space="preserve"> He glosses λόγος as “word, spoken or written,” defined as “word, spoken or written, often with a focus on the content of a communication… matter, thing.”</w:t>
      </w:r>
      <w:r>
        <w:rPr>
          <w:rStyle w:val="FootnoteReference"/>
        </w:rPr>
        <w:footnoteReference w:id="21"/>
      </w:r>
      <w:r>
        <w:rPr/>
        <w:t xml:space="preserve"> These are overlapping ranges, not opposed ones. Abbott-Smith defines ῥῆμα as “prop., of that which is said or spoken, (a) a word,” and “opp. to ὄνομα (a single word), a saying, statement, word of prophecy, instruction or command.”</w:t>
      </w:r>
      <w:r>
        <w:rPr>
          <w:rStyle w:val="FootnoteReference"/>
        </w:rPr>
        <w:footnoteReference w:id="22"/>
      </w:r>
      <w:r>
        <w:rPr/>
        <w:t xml:space="preserve"> He defines λόγος as “a word, not in the grammatical sense of a mere name (ἔπος, ὄνομα, ῥῆμα), but a word as embodying a conception or idea,” together with “a saying, statement, declaration” and “speech, discourse.”</w:t>
      </w:r>
      <w:r>
        <w:rPr>
          <w:rStyle w:val="FootnoteReference"/>
        </w:rPr>
        <w:footnoteReference w:id="23"/>
      </w:r>
      <w:r>
        <w:rPr/>
        <w:t xml:space="preserve"> Note what Abbott-Smith’s parenthesis actually does: it groups ῥῆμα with ὄνομα as the more atomic terms and λόγος as the term carrying a developed conception. That is the </w:t>
      </w:r>
      <w:r>
        <w:rPr>
          <w:i/>
          <w:iCs/>
        </w:rPr>
        <w:t>reverse</w:t>
      </w:r>
      <w:r>
        <w:rPr/>
        <w:t xml:space="preserve"> of the popular schema, in which ῥῆμα is the living, personal word and λόγος the static written text.</w:t>
      </w:r>
    </w:p>
    <w:p>
      <w:pPr>
        <w:pStyle w:val="BodyText"/>
        <w:rPr/>
      </w:pPr>
      <w:r>
        <w:rPr/>
        <w:t>Paul settles the matter in this very letter. In Ephesians 6:19 he asks the church to pray “that utterance may be given to me, that I may open my mouth boldly to make known the mystery of the gospel.”</w:t>
      </w:r>
    </w:p>
    <w:p>
      <w:pPr>
        <w:pStyle w:val="BlockText"/>
        <w:rPr/>
      </w:pPr>
      <w:r>
        <w:rPr>
          <w:b/>
          <w:bCs/>
        </w:rPr>
        <w:t>Ephesians 6:19 (NKJV):</w:t>
      </w:r>
      <w:r>
        <w:rPr/>
        <w:t xml:space="preserve"> “and for me, that utterance may be given to me, that I may open my mouth boldly to make known the mystery of the gospel,”</w:t>
      </w:r>
    </w:p>
    <w:p>
      <w:pPr>
        <w:pStyle w:val="BlockText"/>
        <w:rPr/>
      </w:pPr>
      <w:r>
        <w:rPr>
          <w:b/>
          <w:bCs/>
        </w:rPr>
        <w:t>Summary:</w:t>
      </w:r>
      <w:r>
        <w:rPr/>
        <w:t xml:space="preserve"> Paul asks for a spoken, in-the-moment “utterance” using the Greek word λόγος — the very word the popular schema wrongly assigns to the static written text rather than the living, spoken one.</w:t>
      </w:r>
    </w:p>
    <w:p>
      <w:pPr>
        <w:pStyle w:val="FirstParagraph"/>
        <w:rPr/>
      </w:pPr>
      <w:r>
        <w:rPr/>
        <w:t>The word translated “utterance” — a spoken word given in the moment, if ever there were one — is λόγος.</w:t>
      </w:r>
      <w:r>
        <w:rPr>
          <w:rStyle w:val="FootnoteReference"/>
        </w:rPr>
        <w:footnoteReference w:id="24"/>
      </w:r>
      <w:r>
        <w:rPr/>
        <w:t xml:space="preserve"> And in Ephesians 5:26, describing Christ sanctifying and cleansing the church “with the washing of water by the word,” the word for the broad gospel word is ῥῆμα.</w:t>
      </w:r>
      <w:r>
        <w:rPr>
          <w:rStyle w:val="FootnoteReference"/>
        </w:rPr>
        <w:footnoteReference w:id="25"/>
      </w:r>
    </w:p>
    <w:p>
      <w:pPr>
        <w:pStyle w:val="BlockText"/>
        <w:rPr/>
      </w:pPr>
      <w:r>
        <w:rPr>
          <w:b/>
          <w:bCs/>
        </w:rPr>
        <w:t>Ephesians 5:26 (NKJV):</w:t>
      </w:r>
      <w:r>
        <w:rPr/>
        <w:t xml:space="preserve"> “that He might sanctify and cleanse her with the washing of water by the word,”</w:t>
      </w:r>
    </w:p>
    <w:p>
      <w:pPr>
        <w:pStyle w:val="BlockText"/>
        <w:rPr/>
      </w:pPr>
      <w:r>
        <w:rPr>
          <w:b/>
          <w:bCs/>
        </w:rPr>
        <w:t>Summary:</w:t>
      </w:r>
      <w:r>
        <w:rPr/>
        <w:t xml:space="preserve"> Paul uses ῥῆμα here for the broad, settled gospel word applied to the whole church — the reverse assignment from the popular ῥῆμα/λόγος schema, confirming it does not hold.</w:t>
      </w:r>
    </w:p>
    <w:p>
      <w:pPr>
        <w:pStyle w:val="FirstParagraph"/>
        <w:rPr/>
      </w:pPr>
      <w:r>
        <w:rPr/>
        <w:t>Paul uses each term exactly where the popular schema says he should have used the other.</w:t>
      </w:r>
    </w:p>
    <w:p>
      <w:pPr>
        <w:pStyle w:val="BodyText"/>
        <w:rPr/>
      </w:pPr>
      <w:r>
        <w:rPr>
          <w:b/>
          <w:bCs/>
        </w:rPr>
        <w:t>The pastoral point survives the correction intact — and is actually stronger without the lexical crutch.</w:t>
      </w:r>
      <w:r>
        <w:rPr/>
        <w:t xml:space="preserve"> Romans 10:14-17 grounds faith in a </w:t>
      </w:r>
      <w:r>
        <w:rPr>
          <w:i/>
          <w:iCs/>
        </w:rPr>
        <w:t>message with content</w:t>
      </w:r>
      <w:r>
        <w:rPr/>
        <w:t xml:space="preserve"> that is </w:t>
      </w:r>
      <w:r>
        <w:rPr>
          <w:i/>
          <w:iCs/>
        </w:rPr>
        <w:t>announced</w:t>
      </w:r>
      <w:r>
        <w:rPr/>
        <w:t xml:space="preserve"> and </w:t>
      </w:r>
      <w:r>
        <w:rPr>
          <w:i/>
          <w:iCs/>
        </w:rPr>
        <w:t>heard</w:t>
      </w:r>
      <w:r>
        <w:rPr/>
        <w:t>. Faith is not generated by religious atmosphere, by sincerity, or by a general disposition toward the transcendent. It comes into existence when a specific claim about a specific Christ is stated and received. It follows directly that a believer whose actual intake of Scripture is thin will have a thin shield, not because a special category of word has been withheld from them, but because the mechanism Paul names has had almost nothing to work with. Faith is strengthened the way trust in any person is strengthened: by increasing, specific exposure to that person’s own trustworthy words.</w:t>
      </w:r>
    </w:p>
    <w:p>
      <w:pPr>
        <w:pStyle w:val="BodyText"/>
        <w:rPr/>
      </w:pPr>
      <w:r>
        <w:rPr>
          <w:b/>
          <w:bCs/>
        </w:rPr>
        <w:t>For teaching.</w:t>
      </w:r>
      <w:r>
        <w:rPr/>
        <w:t xml:space="preserve"> If someone in your congregation has been taught the ῥῆμα/λόγος distinction, they have usually been taught it in service of a good instinct — that Scripture must become personal and specific, not merely archived. Affirm the instinct. Correct the argument. The specificity Scripture calls for is a matter of what the believer actually knows, recalls, and relies on, not a matter of which Greek noun appears in the verse.</w:t>
      </w:r>
      <w:bookmarkEnd w:id="24"/>
    </w:p>
    <w:p>
      <w:pPr>
        <w:pStyle w:val="Heading2"/>
        <w:rPr/>
      </w:pPr>
      <w:bookmarkStart w:id="25" w:name="__RefHeading___Toc2621_2115258294"/>
      <w:bookmarkStart w:id="26" w:name="faith-is-refined-under-testing"/>
      <w:bookmarkEnd w:id="25"/>
      <w:r>
        <w:rPr/>
        <w:t>2.2 Faith Is Refined Under Testing</w:t>
      </w:r>
    </w:p>
    <w:p>
      <w:pPr>
        <w:pStyle w:val="FirstParagraph"/>
        <w:rPr/>
      </w:pPr>
      <w:r>
        <w:rPr/>
        <w:t>Scripture consistently describes faith as something that grows specifically through trial, not merely through study in comfortable conditions. “Count it all joy when you fall into various trials, knowing that the testing of your faith produces patience” (James 1:2-3).</w:t>
      </w:r>
    </w:p>
    <w:p>
      <w:pPr>
        <w:pStyle w:val="BlockText"/>
        <w:rPr/>
      </w:pPr>
      <w:r>
        <w:rPr>
          <w:b/>
          <w:bCs/>
        </w:rPr>
        <w:t>James 1:2-3 (NKJV):</w:t>
      </w:r>
      <w:r>
        <w:rPr/>
        <w:t xml:space="preserve"> “My brethren, count it all joy when you fall into various trials, knowing that the testing of your faith produces patience.”</w:t>
      </w:r>
    </w:p>
    <w:p>
      <w:pPr>
        <w:pStyle w:val="BlockText"/>
        <w:rPr/>
      </w:pPr>
      <w:r>
        <w:rPr>
          <w:b/>
          <w:bCs/>
        </w:rPr>
        <w:t>Summary:</w:t>
      </w:r>
      <w:r>
        <w:rPr/>
        <w:t xml:space="preserve"> James commands believers to count trials as joy precisely because testing is what produces patience — faith grows through real difficulty, not only through comfortable study.</w:t>
      </w:r>
    </w:p>
    <w:p>
      <w:pPr>
        <w:pStyle w:val="FirstParagraph"/>
        <w:rPr/>
      </w:pPr>
      <w:r>
        <w:rPr/>
        <w:t>Peter uses the precise image of metallurgical refining, and the full passage is worth quoting rather than citing:</w:t>
      </w:r>
    </w:p>
    <w:p>
      <w:pPr>
        <w:pStyle w:val="BlockText"/>
        <w:rPr/>
      </w:pPr>
      <w:r>
        <w:rPr/>
        <w:t>“</w:t>
      </w:r>
      <w:r>
        <w:rPr/>
        <w:t>In this you greatly rejoice, though now for a little while, if need be, you have been grieved by various trials, that the genuineness of your faith, being much more precious than gold that perishes, though it is tested by fire, may be found to praise, honor, and glory at the revelation of Jesus Christ.” (1 Peter 1:6-7)</w:t>
      </w:r>
    </w:p>
    <w:p>
      <w:pPr>
        <w:pStyle w:val="BlockText"/>
        <w:rPr/>
      </w:pPr>
      <w:r>
        <w:rPr>
          <w:b/>
          <w:bCs/>
        </w:rPr>
        <w:t>1 Peter 1:6-7 (NKJV):</w:t>
      </w:r>
      <w:r>
        <w:rPr/>
        <w:t xml:space="preserve"> “In this you greatly rejoice, though now for a little while, if need be, you have been grieved by various trials, that the genuineness of your faith, being much more precious than gold that perishes, though it is tested by fire, may be found to praise, honor, and glory at the revelation of Jesus Christ.”</w:t>
      </w:r>
    </w:p>
    <w:p>
      <w:pPr>
        <w:pStyle w:val="BlockText"/>
        <w:rPr/>
      </w:pPr>
      <w:r>
        <w:rPr>
          <w:b/>
          <w:bCs/>
        </w:rPr>
        <w:t>Summary:</w:t>
      </w:r>
      <w:r>
        <w:rPr/>
        <w:t xml:space="preserve"> Peter pictures trial as a refiner’s fire that proves faith genuine, the way fire proves gold genuine — the testing itself is what establishes authenticity, not merely survives it.</w:t>
      </w:r>
    </w:p>
    <w:p>
      <w:pPr>
        <w:pStyle w:val="FirstParagraph"/>
        <w:rPr/>
      </w:pPr>
      <w:r>
        <w:rPr/>
        <w:t>The Greek noun behind “genuineness” is δοκίμιον. Abbott-Smith defines it as “a test,” noting that it is usually regarded as a variant form of δοκιμεῖον.</w:t>
      </w:r>
      <w:r>
        <w:rPr>
          <w:rStyle w:val="FootnoteReference"/>
        </w:rPr>
        <w:footnoteReference w:id="26"/>
      </w:r>
      <w:r>
        <w:rPr/>
        <w:t xml:space="preserve"> Evidence from the papyri indicates that the word also carried the sense of what is </w:t>
      </w:r>
      <w:r>
        <w:rPr>
          <w:i/>
          <w:iCs/>
        </w:rPr>
        <w:t>genuine</w:t>
      </w:r>
      <w:r>
        <w:rPr/>
        <w:t xml:space="preserve"> — “standard gold” — so that Peter’s phrase can be understood as “what is genuine in your faith,” emphasizing authenticity established by the test rather than the testing process alone.</w:t>
      </w:r>
      <w:r>
        <w:rPr>
          <w:rStyle w:val="FootnoteReference"/>
        </w:rPr>
        <w:footnoteReference w:id="27"/>
      </w:r>
    </w:p>
    <w:p>
      <w:pPr>
        <w:pStyle w:val="BodyText"/>
        <w:rPr/>
      </w:pPr>
      <w:r>
        <w:rPr/>
        <w:t>This is directly relevant to a believer who feels the fiery darts of Ephesians 6:16 as pure threat. Scripture uses fire imagery for both satanic attack (the burning arrows of Ephesians 6:16) and for God’s own refining of faith (the fiery trial of 1 Peter 1:7). The enemy intends the fire to destroy; God intends real fire, faced in faith, to purify and to prove. The same event serves two opposed purposes, and the believer’s faith is what determines which purpose it actually serves in them.</w:t>
      </w:r>
    </w:p>
    <w:p>
      <w:pPr>
        <w:pStyle w:val="BodyText"/>
        <w:rPr/>
      </w:pPr>
      <w:bookmarkStart w:id="27" w:name="faith-is-refined-under-testing"/>
      <w:r>
        <w:rPr/>
        <w:t>Leadership should draw the obvious inference for its own practice: a congregation’s faith will not be grown by removing all difficulty from the church’s teaching or from its care for members. Faith untested by anything real tends to stay theoretical. This is not an argument for manufacturing hardship — trials arrive without help. It is an argument against a ministry posture that treats every discomfort as a pastoral failure to be smoothed away.</w:t>
      </w:r>
      <w:bookmarkEnd w:id="27"/>
    </w:p>
    <w:p>
      <w:pPr>
        <w:pStyle w:val="Heading2"/>
        <w:rPr/>
      </w:pPr>
      <w:bookmarkStart w:id="28" w:name="__RefHeading___Toc2623_2115258294"/>
      <w:bookmarkStart w:id="29" w:name="faith-is-asked-for-and-given-in-prayer"/>
      <w:bookmarkEnd w:id="28"/>
      <w:r>
        <w:rPr/>
        <w:t>2.3 Faith Is Asked For, and Given, in Prayer</w:t>
      </w:r>
    </w:p>
    <w:p>
      <w:pPr>
        <w:pStyle w:val="FirstParagraph"/>
        <w:rPr/>
      </w:pPr>
      <w:r>
        <w:rPr/>
        <w:t>The disciples’ own request models the single most direct means of strengthening faith: asking God for it. “And the apostles said to the Lord, ‘Increase our faith’” (Luke 17:5).</w:t>
      </w:r>
    </w:p>
    <w:p>
      <w:pPr>
        <w:pStyle w:val="BlockText"/>
        <w:rPr/>
      </w:pPr>
      <w:r>
        <w:rPr>
          <w:b/>
          <w:bCs/>
        </w:rPr>
        <w:t>Luke 17:5 (NKJV):</w:t>
      </w:r>
      <w:r>
        <w:rPr/>
        <w:t xml:space="preserve"> “And the apostles said to the Lord, ‘Increase our faith.’”</w:t>
      </w:r>
    </w:p>
    <w:p>
      <w:pPr>
        <w:pStyle w:val="BlockText"/>
        <w:rPr/>
      </w:pPr>
      <w:r>
        <w:rPr>
          <w:b/>
          <w:bCs/>
        </w:rPr>
        <w:t>Summary:</w:t>
      </w:r>
      <w:r>
        <w:rPr/>
        <w:t xml:space="preserve"> The disciples model the most direct means of strengthening faith available to any believer: simply asking God for more of it.</w:t>
      </w:r>
    </w:p>
    <w:p>
      <w:pPr>
        <w:pStyle w:val="FirstParagraph"/>
        <w:rPr/>
      </w:pPr>
      <w:r>
        <w:rPr/>
        <w:t>The father of the boy with a mute spirit models something even more useful for the average struggling believer — faith that is genuine but incomplete. Jesus said to him, “If you can believe, all things are possible to him who believes” (Mark 9:23).</w:t>
      </w:r>
    </w:p>
    <w:p>
      <w:pPr>
        <w:pStyle w:val="BlockText"/>
        <w:rPr/>
      </w:pPr>
      <w:r>
        <w:rPr>
          <w:b/>
          <w:bCs/>
        </w:rPr>
        <w:t>Mark 9:23 (NKJV):</w:t>
      </w:r>
      <w:r>
        <w:rPr/>
        <w:t xml:space="preserve"> “Jesus said to him, ‘If you can believe, all things are possible to him who believes.’”</w:t>
      </w:r>
    </w:p>
    <w:p>
      <w:pPr>
        <w:pStyle w:val="BlockText"/>
        <w:rPr/>
      </w:pPr>
      <w:r>
        <w:rPr>
          <w:b/>
          <w:bCs/>
        </w:rPr>
        <w:t>Summary:</w:t>
      </w:r>
      <w:r>
        <w:rPr/>
        <w:t xml:space="preserve"> Jesus turns the father’s own doubt-laden request back on the question of belief itself, showing that what stands between the man and the miracle is not power but faith.</w:t>
      </w:r>
    </w:p>
    <w:p>
      <w:pPr>
        <w:pStyle w:val="FirstParagraph"/>
        <w:rPr/>
      </w:pPr>
      <w:r>
        <w:rPr/>
        <w:t>“</w:t>
      </w:r>
      <w:r>
        <w:rPr/>
        <w:t>Immediately the father of the child cried out and said with tears, ‘Lord, I believe; help my unbelief!’” (Mark 9:24).</w:t>
      </w:r>
    </w:p>
    <w:p>
      <w:pPr>
        <w:pStyle w:val="BlockText"/>
        <w:rPr/>
      </w:pPr>
      <w:r>
        <w:rPr>
          <w:b/>
          <w:bCs/>
        </w:rPr>
        <w:t>Mark 9:24 (NKJV):</w:t>
      </w:r>
      <w:r>
        <w:rPr/>
        <w:t xml:space="preserve"> “Immediately the father of the child cried out and said with tears, ‘Lord, I believe; help my unbelief!’”</w:t>
      </w:r>
    </w:p>
    <w:p>
      <w:pPr>
        <w:pStyle w:val="BlockText"/>
        <w:rPr/>
      </w:pPr>
      <w:r>
        <w:rPr>
          <w:b/>
          <w:bCs/>
        </w:rPr>
        <w:t>Summary:</w:t>
      </w:r>
      <w:r>
        <w:rPr/>
        <w:t xml:space="preserve"> The father confesses genuine faith and its insufficiency in the same breath, and Jesus grants his request anyway — Scripture’s own model for the prayer of incomplete faith.</w:t>
      </w:r>
    </w:p>
    <w:p>
      <w:pPr>
        <w:pStyle w:val="FirstParagraph"/>
        <w:rPr/>
      </w:pPr>
      <w:r>
        <w:rPr/>
        <w:t>Read that sentence carefully. The man confesses faith and confesses its insufficiency in the same breath, and asks God to supply the difference. Jesus does not rebuke him; He casts out the spirit. Scripture holds up this prayer, not a self-generated certainty, as the model response.</w:t>
      </w:r>
    </w:p>
    <w:p>
      <w:pPr>
        <w:pStyle w:val="BodyText"/>
        <w:rPr/>
      </w:pPr>
      <w:bookmarkStart w:id="30" w:name="faith-is-asked-for-and-given-in-prayer"/>
      <w:r>
        <w:rPr/>
        <w:t>A believer waiting to feel fully confident before praying for help has the order backward. The prayer itself is how growing faith is meant to work. Leadership should say this plainly and often, because a great many people in the pews privately believe that asking for help with their faith is evidence they have none.</w:t>
      </w:r>
      <w:bookmarkEnd w:id="30"/>
    </w:p>
    <w:p>
      <w:pPr>
        <w:pStyle w:val="Heading2"/>
        <w:rPr/>
      </w:pPr>
      <w:bookmarkStart w:id="31" w:name="__RefHeading___Toc2625_2115258294"/>
      <w:bookmarkStart w:id="32" w:name="faith-is-strengthened-by-remembering"/>
      <w:bookmarkEnd w:id="31"/>
      <w:r>
        <w:rPr/>
        <w:t>2.4 Faith Is Strengthened by Remembering</w:t>
      </w:r>
    </w:p>
    <w:p>
      <w:pPr>
        <w:pStyle w:val="FirstParagraph"/>
        <w:rPr/>
      </w:pPr>
      <w:r>
        <w:rPr/>
        <w:t>Scripture repeatedly commands believers to actively recall God’s past faithfulness as a discipline, not merely to feel grateful when the memory happens to surface. “I will remember the works of the LORD; surely I will remember Your wonders of old” (Psalm 77:11).</w:t>
      </w:r>
    </w:p>
    <w:p>
      <w:pPr>
        <w:pStyle w:val="BlockText"/>
        <w:rPr/>
      </w:pPr>
      <w:r>
        <w:rPr>
          <w:b/>
          <w:bCs/>
        </w:rPr>
        <w:t>Psalm 77:11 (NKJV):</w:t>
      </w:r>
      <w:r>
        <w:rPr/>
        <w:t xml:space="preserve"> “I will remember the works of the LORD; surely I will remember Your wonders of old.”</w:t>
      </w:r>
    </w:p>
    <w:p>
      <w:pPr>
        <w:pStyle w:val="BlockText"/>
        <w:rPr/>
      </w:pPr>
      <w:r>
        <w:rPr>
          <w:b/>
          <w:bCs/>
        </w:rPr>
        <w:t>Summary:</w:t>
      </w:r>
      <w:r>
        <w:rPr/>
        <w:t xml:space="preserve"> The psalmist resolves to actively recall God’s past works as a discipline, not a feeling — remembering is something he does because his emotions have collapsed, not because they have recovered.</w:t>
      </w:r>
    </w:p>
    <w:p>
      <w:pPr>
        <w:pStyle w:val="FirstParagraph"/>
        <w:rPr/>
      </w:pPr>
      <w:r>
        <w:rPr/>
        <w:t xml:space="preserve">The verse is a statement of resolve, and it appears in a psalm whose first half is an unrelieved complaint. Remembering is what the psalmist does </w:t>
      </w:r>
      <w:r>
        <w:rPr>
          <w:i/>
          <w:iCs/>
        </w:rPr>
        <w:t>because</w:t>
      </w:r>
      <w:r>
        <w:rPr/>
        <w:t xml:space="preserve"> his feelings have collapsed, not because they have recovered.</w:t>
      </w:r>
    </w:p>
    <w:p>
      <w:pPr>
        <w:pStyle w:val="BodyText"/>
        <w:rPr/>
      </w:pPr>
      <w:bookmarkStart w:id="33" w:name="faith-is-strengthened-by-remembering"/>
      <w:r>
        <w:rPr/>
        <w:t>A congregation — and an individual believer — whose faith has no active practice of remembering specific answered prayers, specific past deliverances, and specific fulfilled promises will find the shield thin in the moment of attack, because they have no rehearsed history of God’s reliability to draw on. Memory is the raw material the shield is built from. This is a specific, practical gap leadership can address directly (see the companion Leadership Discussion Guide).</w:t>
      </w:r>
      <w:bookmarkEnd w:id="33"/>
    </w:p>
    <w:p>
      <w:pPr>
        <w:pStyle w:val="Heading2"/>
        <w:rPr/>
      </w:pPr>
      <w:bookmarkStart w:id="34" w:name="__RefHeading___Toc2627_2115258294"/>
      <w:bookmarkStart w:id="35" w:name="faith-is-strengthened-in-community"/>
      <w:bookmarkEnd w:id="34"/>
      <w:r>
        <w:rPr/>
        <w:t>2.5 Faith Is Strengthened in Community</w:t>
      </w:r>
    </w:p>
    <w:p>
      <w:pPr>
        <w:pStyle w:val="FirstParagraph"/>
        <w:rPr/>
      </w:pPr>
      <w:r>
        <w:rPr/>
        <w:t>“</w:t>
      </w:r>
      <w:r>
        <w:rPr/>
        <w:t>Let us hold fast the confession of our hope without wavering, for He who promised is faithful… not forsaking the assembling of ourselves together… but exhorting one another” (Hebrews 10:23-25).</w:t>
      </w:r>
    </w:p>
    <w:p>
      <w:pPr>
        <w:pStyle w:val="BlockText"/>
        <w:rPr/>
      </w:pPr>
      <w:r>
        <w:rPr>
          <w:b/>
          <w:bCs/>
        </w:rPr>
        <w:t>Hebrews 10:23-25 (NKJV):</w:t>
      </w:r>
      <w:r>
        <w:rPr/>
        <w:t xml:space="preserve"> “Let us hold fast the confession of our hope without wavering, for He who promised is faithful. And let us consider one another in order to stir up love and good works, not forsaking the assembling of ourselves together, as is the manner of some, but exhorting one another, and so much the more as you see the Day approaching.”</w:t>
      </w:r>
    </w:p>
    <w:p>
      <w:pPr>
        <w:pStyle w:val="BlockText"/>
        <w:rPr/>
      </w:pPr>
      <w:r>
        <w:rPr>
          <w:b/>
          <w:bCs/>
        </w:rPr>
        <w:t>Summary:</w:t>
      </w:r>
      <w:r>
        <w:rPr/>
        <w:t xml:space="preserve"> The writer of Hebrews commands mutual, ongoing exhortation as the means by which the church holds its confession fast — faith sustained corporately, not merely as a private matter between an individual and God.</w:t>
      </w:r>
    </w:p>
    <w:p>
      <w:pPr>
        <w:pStyle w:val="FirstParagraph"/>
        <w:rPr/>
      </w:pPr>
      <w:r>
        <w:rPr/>
        <w:t>Faith in this passage is explicitly sustained corporately, not merely individually. The verbs are plural and the activity is mutual: one believer’s steadiness helps hold up another’s. A church culture that treats faith purely as a private, internal matter between an individual and God — with no place for one member’s testimony of God’s faithfulness to strengthen another’s shield — is working against the New Testament’s own stated means of growth.</w:t>
      </w:r>
    </w:p>
    <w:p>
      <w:pPr>
        <w:pStyle w:val="BodyText"/>
        <w:rPr/>
      </w:pPr>
      <w:r>
        <w:rPr/>
        <w:t>The image reinforces the point. A single legionary’s θυρεός protected the man behind it; a line of them locked together protected the unit. Paul’s shield is a soldier’s equipment, and soldiers do not stand alone.</w:t>
      </w:r>
    </w:p>
    <w:p>
      <w:pPr>
        <w:pStyle w:val="Normal"/>
        <w:rPr/>
      </w:pPr>
      <w:bookmarkStart w:id="36" w:name="part-two-how-to-strengthen-faith"/>
      <w:bookmarkStart w:id="37" w:name="faith-is-strengthened-in-community"/>
      <w:r>
        <w:rPr/>
        <mc:AlternateContent>
          <mc:Choice Requires="wps">
            <w:drawing>
              <wp:inline distT="0" distB="0" distL="0" distR="0">
                <wp:extent cx="5943600" cy="19050"/>
                <wp:effectExtent l="0" t="0" r="0" b="0"/>
                <wp:docPr id="9" name=""/>
                <a:graphic xmlns:a="http://schemas.openxmlformats.org/drawingml/2006/main">
                  <a:graphicData uri="http://schemas.microsoft.com/office/word/2010/wordprocessingShape">
                    <wps:wsp>
                      <wps:cNvSpPr/>
                      <wps:nvSpPr>
                        <wps:cNvPr id="10" name=""/>
                        <wps:cNvSpPr/>
                      </wps:nvSpPr>
                      <wps:spPr>
                        <a:xfrm>
                          <a:off x="0" y="0"/>
                          <a:ext cx="5943600" cy="19080"/>
                        </a:xfrm>
                        <a:prstGeom prst="rect">
                          <a:avLst/>
                        </a:prstGeom>
                        <a:solidFill>
                          <a:srgbClr val="ffffff"/>
                        </a:solidFill>
                        <a:ln w="0">
                          <a:solidFill>
                            <a:srgbClr val="000000"/>
                          </a:solidFill>
                        </a:ln>
                      </wps:spPr>
                      <wps:bodyPr/>
                    </wps:wsp>
                  </a:graphicData>
                </a:graphic>
                <wp14:sizeRelH relativeFrom="page">
                  <wp14:pctWidth>100000</wp14:pctWidth>
                </wp14:sizeRelH>
              </wp:inline>
            </w:drawing>
          </mc:Choice>
          <mc:Fallback>
            <w:pict>
              <v:rect id="shape_0" fillcolor="white" stroked="t" o:allowincell="f" style="position:absolute;margin-left:0pt;margin-top:-1.55pt;width:467.95pt;height:1.45pt;mso-wrap-style:none;v-text-anchor:middle;mso-position-horizontal:center;mso-position-vertical:top">
                <v:fill o:detectmouseclick="t" type="solid" color2="black"/>
                <v:stroke color="black" joinstyle="round" endcap="flat"/>
                <w10:wrap type="topAndBottom"/>
              </v:rect>
            </w:pict>
          </mc:Fallback>
        </mc:AlternateContent>
      </w:r>
      <w:bookmarkEnd w:id="36"/>
      <w:bookmarkEnd w:id="37"/>
    </w:p>
    <w:p>
      <w:pPr>
        <w:pStyle w:val="Heading1"/>
        <w:rPr/>
      </w:pPr>
      <w:bookmarkStart w:id="38" w:name="__RefHeading___Toc2629_2115258294"/>
      <w:bookmarkStart w:id="39" w:name="X1c639b718f32b946256fc187204d3b472f65281"/>
      <w:bookmarkEnd w:id="38"/>
      <w:r>
        <w:rPr/>
        <w:t>Part Three: The Shield of Faith and “Putting On Christ”</w:t>
      </w:r>
    </w:p>
    <w:p>
      <w:pPr>
        <w:pStyle w:val="Heading2"/>
        <w:rPr/>
      </w:pPr>
      <w:bookmarkStart w:id="40" w:name="__RefHeading___Toc2631_2115258294"/>
      <w:bookmarkStart w:id="41" w:name="faith-is-never-a-free-floating-virtue"/>
      <w:bookmarkEnd w:id="40"/>
      <w:r>
        <w:rPr/>
        <w:t>3.1 Faith Is Never a Free-Floating Virtue</w:t>
      </w:r>
    </w:p>
    <w:p>
      <w:pPr>
        <w:pStyle w:val="FirstParagraph"/>
        <w:rPr/>
      </w:pPr>
      <w:r>
        <w:rPr/>
        <w:t xml:space="preserve">Ephesians 6:16 does not command believers to take up “the shield of confidence” or “the shield of positive belief.” It specifies faith, and throughout the New Testament, saving and sustaining faith is always faith </w:t>
      </w:r>
      <w:r>
        <w:rPr>
          <w:i/>
          <w:iCs/>
        </w:rPr>
        <w:t>in</w:t>
      </w:r>
      <w:r>
        <w:rPr/>
        <w:t xml:space="preserve"> someone: faith in Christ, faith in God, faith in what God has said.</w:t>
      </w:r>
    </w:p>
    <w:p>
      <w:pPr>
        <w:pStyle w:val="BodyText"/>
        <w:rPr/>
      </w:pPr>
      <w:r>
        <w:rPr/>
        <w:t>This matters because a shield made of raw, undirected confidence has no actual defensive power. A shield’s strength depends entirely on what it is trusting to hold. Galatians 2:20 states the pattern precisely: “I live by faith in the Son of God, who loved me and gave Himself for me.”</w:t>
      </w:r>
    </w:p>
    <w:p>
      <w:pPr>
        <w:pStyle w:val="BlockText"/>
        <w:rPr/>
      </w:pPr>
      <w:r>
        <w:rPr>
          <w:b/>
          <w:bCs/>
        </w:rPr>
        <w:t>Galatians 2:20 (NKJV):</w:t>
      </w:r>
      <w:r>
        <w:rPr/>
        <w:t xml:space="preserve"> “I have been crucified with Christ; it is no longer I who live, but Christ lives in me; and the life which I now live in the flesh I live by faith in the Son of God, who loved me and gave Himself for me.”</w:t>
      </w:r>
    </w:p>
    <w:p>
      <w:pPr>
        <w:pStyle w:val="BlockText"/>
        <w:rPr/>
      </w:pPr>
      <w:r>
        <w:rPr>
          <w:b/>
          <w:bCs/>
        </w:rPr>
        <w:t>Summary:</w:t>
      </w:r>
      <w:r>
        <w:rPr/>
        <w:t xml:space="preserve"> Paul locates his own daily life inside Christ’s death and resurrection, so that the faith he lives by is never faith in his own faith but always faith aimed specifically at the Son of God who loved him.</w:t>
      </w:r>
    </w:p>
    <w:p>
      <w:pPr>
        <w:pStyle w:val="FirstParagraph"/>
        <w:rPr/>
      </w:pPr>
      <w:r>
        <w:rPr/>
        <w:t>The shield of faith is never, even implicitly, faith in one’s own faith. It is always faith aimed at Christ Himself.</w:t>
      </w:r>
    </w:p>
    <w:p>
      <w:pPr>
        <w:pStyle w:val="BodyText"/>
        <w:rPr/>
      </w:pPr>
      <w:bookmarkStart w:id="42" w:name="faith-is-never-a-free-floating-virtue"/>
      <w:r>
        <w:rPr/>
        <w:t>The practical test is simple and worth giving to a class. Ask a believer to finish the sentence, “I am trusting that ____.” If the blank fills with a claim about themselves — that they will be strong enough, that they will feel better, that they will handle it — the shield is pointed the wrong way. If it fills with a claim about God — what He has promised, what He has already done, who He has said He is — the shield is up.</w:t>
      </w:r>
      <w:bookmarkEnd w:id="42"/>
    </w:p>
    <w:p>
      <w:pPr>
        <w:pStyle w:val="Heading2"/>
        <w:rPr/>
      </w:pPr>
      <w:bookmarkStart w:id="43" w:name="__RefHeading___Toc2633_2115258294"/>
      <w:bookmarkStart w:id="44" w:name="X48f32ba971935de163a001bc7d846beef74f851"/>
      <w:bookmarkEnd w:id="43"/>
      <w:r>
        <w:rPr/>
        <w:t>3.2 Faith as the Means of Union With Christ — Putting On the Lord Jesus</w:t>
      </w:r>
    </w:p>
    <w:p>
      <w:pPr>
        <w:pStyle w:val="FirstParagraph"/>
        <w:rPr/>
      </w:pPr>
      <w:r>
        <w:rPr/>
        <w:t>This series has already studied ἐνδύω, “put on,” as the verb behind putting on the armor of God (Ephesians 6:11, 14) and behind “putting on the new man” (Ephesians 4:24).</w:t>
      </w:r>
    </w:p>
    <w:p>
      <w:pPr>
        <w:pStyle w:val="BlockText"/>
        <w:rPr/>
      </w:pPr>
      <w:r>
        <w:rPr>
          <w:b/>
          <w:bCs/>
        </w:rPr>
        <w:t>Ephesians 6:11, 14 (NKJV):</w:t>
      </w:r>
      <w:r>
        <w:rPr/>
        <w:t xml:space="preserve"> “Put on the whole armor of God, that you may be able to stand against the wiles of the devil… Stand therefore, having girded your waist with truth, having put on the breastplate of righteousness,”</w:t>
      </w:r>
    </w:p>
    <w:p>
      <w:pPr>
        <w:pStyle w:val="BlockText"/>
        <w:rPr/>
      </w:pPr>
      <w:r>
        <w:rPr>
          <w:b/>
          <w:bCs/>
        </w:rPr>
        <w:t>Summary:</w:t>
      </w:r>
      <w:r>
        <w:rPr/>
        <w:t xml:space="preserve"> Paul commands believers to “put on” the armor of God using the same clothing verb elsewhere applied to putting on Christ Himself — the armor is not accessories added alongside Christ’s character but an expression of union with Him.</w:t>
      </w:r>
    </w:p>
    <w:p>
      <w:pPr>
        <w:pStyle w:val="BlockText"/>
        <w:rPr/>
      </w:pPr>
      <w:r>
        <w:rPr>
          <w:b/>
          <w:bCs/>
        </w:rPr>
        <w:t>Ephesians 4:24 (NKJV):</w:t>
      </w:r>
      <w:r>
        <w:rPr/>
        <w:t xml:space="preserve"> “and that you put on the new man which was created according to God, in true righteousness and holiness.”</w:t>
      </w:r>
    </w:p>
    <w:p>
      <w:pPr>
        <w:pStyle w:val="BlockText"/>
        <w:rPr/>
      </w:pPr>
      <w:r>
        <w:rPr>
          <w:b/>
          <w:bCs/>
        </w:rPr>
        <w:t>Summary:</w:t>
      </w:r>
      <w:r>
        <w:rPr/>
        <w:t xml:space="preserve"> Paul uses this same “put on” verb for the new man created in God’s own righteousness and holiness, tying the armor’s language directly to ongoing transformation into Christ’s likeness.</w:t>
      </w:r>
    </w:p>
    <w:p>
      <w:pPr>
        <w:pStyle w:val="FirstParagraph"/>
        <w:rPr/>
      </w:pPr>
      <w:r>
        <w:rPr/>
        <w:t>The same verb governs one of the New Testament’s most direct statements about the beginning of the Christian life and one of its most direct statements about ongoing Christian conduct.</w:t>
      </w:r>
    </w:p>
    <w:p>
      <w:pPr>
        <w:pStyle w:val="BodyText"/>
        <w:rPr/>
      </w:pPr>
      <w:r>
        <w:rPr/>
        <w:t>On the beginning: “For you are all sons of God through faith in Christ Jesus. For as many of you as were baptized into Christ have put on Christ” (Galatians 3:26-27).</w:t>
      </w:r>
    </w:p>
    <w:p>
      <w:pPr>
        <w:pStyle w:val="BlockText"/>
        <w:rPr/>
      </w:pPr>
      <w:r>
        <w:rPr>
          <w:b/>
          <w:bCs/>
        </w:rPr>
        <w:t>Galatians 3:26-27 (NKJV):</w:t>
      </w:r>
      <w:r>
        <w:rPr/>
        <w:t xml:space="preserve"> “For you are all sons of God through faith in Christ Jesus. For as many of you as were baptized into Christ have put on Christ.”</w:t>
      </w:r>
    </w:p>
    <w:p>
      <w:pPr>
        <w:pStyle w:val="BlockText"/>
        <w:rPr/>
      </w:pPr>
      <w:r>
        <w:rPr>
          <w:b/>
          <w:bCs/>
        </w:rPr>
        <w:t>Summary:</w:t>
      </w:r>
      <w:r>
        <w:rPr/>
        <w:t xml:space="preserve"> Paul names faith as the very means of sonship and, in the next breath, describes that same faith as what put Christ on the believer — the shield of faith is the thing that first joined the believer to Christ.</w:t>
      </w:r>
    </w:p>
    <w:p>
      <w:pPr>
        <w:pStyle w:val="FirstParagraph"/>
        <w:rPr/>
      </w:pPr>
      <w:r>
        <w:rPr/>
        <w:t>The sequence in these two consecutive verses is the whole argument of this section. Faith is named as the means of sonship in verse 26; putting on Christ is named in verse 27.</w:t>
      </w:r>
    </w:p>
    <w:p>
      <w:pPr>
        <w:pStyle w:val="BodyText"/>
        <w:rPr/>
      </w:pPr>
      <w:r>
        <w:rPr/>
        <w:t>On the ongoing: “But put on the Lord Jesus Christ, and make no provision for the flesh, to fulfill its lusts” (Romans 13:14).</w:t>
      </w:r>
    </w:p>
    <w:p>
      <w:pPr>
        <w:pStyle w:val="BlockText"/>
        <w:rPr/>
      </w:pPr>
      <w:r>
        <w:rPr>
          <w:b/>
          <w:bCs/>
        </w:rPr>
        <w:t>Romans 13:14 (NKJV):</w:t>
      </w:r>
      <w:r>
        <w:rPr/>
        <w:t xml:space="preserve"> “But put on the Lord Jesus Christ, and make no provision for the flesh, to fulfill its lusts.”</w:t>
      </w:r>
    </w:p>
    <w:p>
      <w:pPr>
        <w:pStyle w:val="BlockText"/>
        <w:rPr/>
      </w:pPr>
      <w:r>
        <w:rPr>
          <w:b/>
          <w:bCs/>
        </w:rPr>
        <w:t>Summary:</w:t>
      </w:r>
      <w:r>
        <w:rPr/>
        <w:t xml:space="preserve"> Paul commands believers who have already put on Christ once at conversion to put Him on again as an ongoing, daily practice — the garment goes on every morning, not only once.</w:t>
      </w:r>
    </w:p>
    <w:p>
      <w:pPr>
        <w:pStyle w:val="FirstParagraph"/>
        <w:rPr/>
      </w:pPr>
      <w:r>
        <w:rPr/>
        <w:t>Here the same clothing verb is an imperative addressed to people who have already done it once. The garment goes on at conversion and goes on again every morning.</w:t>
      </w:r>
    </w:p>
    <w:p>
      <w:pPr>
        <w:pStyle w:val="BodyText"/>
        <w:rPr/>
      </w:pPr>
      <w:r>
        <w:rPr/>
        <w:t xml:space="preserve">The shield of faith, then, is not a separate accessory alongside the armor of Christ’s own character. It is the very thing that first joined the believer to Christ, and it continues to function as a shield precisely because the believer already stands </w:t>
      </w:r>
      <w:r>
        <w:rPr>
          <w:i/>
          <w:iCs/>
        </w:rPr>
        <w:t>in</w:t>
      </w:r>
      <w:r>
        <w:rPr/>
        <w:t xml:space="preserve"> Him, not because the shield has some independent strength of its own. This is the same logic already observed in Isaiah 59:17: the armor belongs to God first and is shared with His people.</w:t>
      </w:r>
      <w:bookmarkEnd w:id="44"/>
    </w:p>
    <w:p>
      <w:pPr>
        <w:pStyle w:val="Heading2"/>
        <w:rPr/>
      </w:pPr>
      <w:bookmarkStart w:id="45" w:name="__RefHeading___Toc2635_2115258294"/>
      <w:bookmarkStart w:id="46" w:name="a-practical-consequence-for-teaching"/>
      <w:bookmarkEnd w:id="45"/>
      <w:r>
        <w:rPr/>
        <w:t>3.3 A Practical Consequence for Teaching</w:t>
      </w:r>
    </w:p>
    <w:p>
      <w:pPr>
        <w:pStyle w:val="FirstParagraph"/>
        <w:rPr/>
      </w:pPr>
      <w:r>
        <w:rPr/>
        <w:t>This connection has a direct, practical implication leadership should not skip past: a congregation cannot be taught to “have more faith” as a self-improvement project detached from a deepening, specific knowledge of Christ Himself.</w:t>
      </w:r>
    </w:p>
    <w:p>
      <w:pPr>
        <w:pStyle w:val="BodyText"/>
        <w:rPr/>
      </w:pPr>
      <w:r>
        <w:rPr/>
        <w:t>Faith that is not growing in specific acquaintance with who Christ actually is and what He has actually promised is not really growing at all, however much emotional intensity accompanies it. Strengthening the shield of faith and deepening a believer’s actual knowledge of Christ are, on this passage’s own logic, the same project, not two separate ones.</w:t>
      </w:r>
    </w:p>
    <w:p>
      <w:pPr>
        <w:pStyle w:val="BodyText"/>
        <w:rPr/>
      </w:pPr>
      <w:r>
        <w:rPr/>
        <w:t>The diagnostic question for a teaching team is therefore not “are we exhorting people to trust God?” but “are we telling them enough true and specific things about God for their trust to have anything to hold?”</w:t>
      </w:r>
    </w:p>
    <w:p>
      <w:pPr>
        <w:pStyle w:val="Normal"/>
        <w:rPr/>
      </w:pPr>
      <w:bookmarkStart w:id="47" w:name="X1c639b718f32b946256fc187204d3b472f65281"/>
      <w:bookmarkStart w:id="48" w:name="a-practical-consequence-for-teaching"/>
      <w:r>
        <w:rPr/>
        <mc:AlternateContent>
          <mc:Choice Requires="wps">
            <w:drawing>
              <wp:inline distT="0" distB="0" distL="0" distR="0">
                <wp:extent cx="5943600" cy="19050"/>
                <wp:effectExtent l="0" t="0" r="0" b="0"/>
                <wp:docPr id="11" name=""/>
                <a:graphic xmlns:a="http://schemas.openxmlformats.org/drawingml/2006/main">
                  <a:graphicData uri="http://schemas.microsoft.com/office/word/2010/wordprocessingShape">
                    <wps:wsp>
                      <wps:cNvSpPr/>
                      <wps:nvSpPr>
                        <wps:cNvPr id="12" name=""/>
                        <wps:cNvSpPr/>
                      </wps:nvSpPr>
                      <wps:spPr>
                        <a:xfrm>
                          <a:off x="0" y="0"/>
                          <a:ext cx="5943600" cy="19080"/>
                        </a:xfrm>
                        <a:prstGeom prst="rect">
                          <a:avLst/>
                        </a:prstGeom>
                        <a:solidFill>
                          <a:srgbClr val="ffffff"/>
                        </a:solidFill>
                        <a:ln w="0">
                          <a:solidFill>
                            <a:srgbClr val="000000"/>
                          </a:solidFill>
                        </a:ln>
                      </wps:spPr>
                      <wps:bodyPr/>
                    </wps:wsp>
                  </a:graphicData>
                </a:graphic>
                <wp14:sizeRelH relativeFrom="page">
                  <wp14:pctWidth>100000</wp14:pctWidth>
                </wp14:sizeRelH>
              </wp:inline>
            </w:drawing>
          </mc:Choice>
          <mc:Fallback>
            <w:pict>
              <v:rect id="shape_0" fillcolor="white" stroked="t" o:allowincell="f" style="position:absolute;margin-left:0pt;margin-top:-1.55pt;width:467.95pt;height:1.45pt;mso-wrap-style:none;v-text-anchor:middle;mso-position-horizontal:center;mso-position-vertical:top">
                <v:fill o:detectmouseclick="t" type="solid" color2="black"/>
                <v:stroke color="black" joinstyle="round" endcap="flat"/>
                <w10:wrap type="topAndBottom"/>
              </v:rect>
            </w:pict>
          </mc:Fallback>
        </mc:AlternateContent>
      </w:r>
      <w:bookmarkEnd w:id="47"/>
      <w:bookmarkEnd w:id="48"/>
    </w:p>
    <w:p>
      <w:pPr>
        <w:pStyle w:val="Heading1"/>
        <w:rPr/>
      </w:pPr>
      <w:bookmarkStart w:id="49" w:name="__RefHeading___Toc2637_2115258294"/>
      <w:bookmarkStart w:id="50" w:name="Xcda839c8edf8fa9f7b185258d6b1894d5aa0107"/>
      <w:bookmarkEnd w:id="49"/>
      <w:r>
        <w:rPr/>
        <w:t>Part Four: Why So Many Believers Don’t Understand How to Use the Shield of Faith</w:t>
      </w:r>
    </w:p>
    <w:p>
      <w:pPr>
        <w:pStyle w:val="FirstParagraph"/>
        <w:rPr/>
      </w:pPr>
      <w:r>
        <w:rPr/>
        <w:t>Leadership evaluating a congregation’s actual — not stated — understanding of faith will typically find some mixture of the following distortions operating beneath the surface, often held simultaneously with entirely correct answers on a doctrinal questionnaire. The six below are listed roughly in order of how commonly they appear, not how serious they are.</w:t>
      </w:r>
    </w:p>
    <w:p>
      <w:pPr>
        <w:pStyle w:val="Heading2"/>
        <w:rPr/>
      </w:pPr>
      <w:bookmarkStart w:id="51" w:name="__RefHeading___Toc2639_2115258294"/>
      <w:bookmarkStart w:id="52" w:name="faith-confused-with-feeling"/>
      <w:bookmarkEnd w:id="51"/>
      <w:r>
        <w:rPr/>
        <w:t>4.1 Faith Confused With Feeling</w:t>
      </w:r>
    </w:p>
    <w:p>
      <w:pPr>
        <w:pStyle w:val="FirstParagraph"/>
        <w:rPr/>
      </w:pPr>
      <w:r>
        <w:rPr/>
        <w:t>The most common distortion treats faith as an emotional state — a feeling of confidence, peace, or certainty that either is or isn’t present on a given day. On this (unbiblical) view, a believer who feels anxious or doubtful concludes they simply “don’t have faith” right now, rather than recognizing, as Hebrews 11:1 defines it, that faith is a settled reliance on what is true regardless of the emotional weather.</w:t>
      </w:r>
    </w:p>
    <w:p>
      <w:pPr>
        <w:pStyle w:val="BodyText"/>
        <w:rPr/>
      </w:pPr>
      <w:r>
        <w:rPr/>
        <w:t>Mark 9:24 is Scripture’s own counter-example: “Lord, I believe; help my unbelief!”</w:t>
      </w:r>
    </w:p>
    <w:p>
      <w:pPr>
        <w:pStyle w:val="BodyText"/>
        <w:rPr/>
      </w:pPr>
      <w:bookmarkStart w:id="53" w:name="faith-confused-with-feeling"/>
      <w:r>
        <w:rPr/>
        <w:t>Genuine faith and a genuine feeling of insufficient faith are shown coexisting in the very same sentence, and the man’s request is granted rather than refused. If the two could not coexist, that verse could not have been written.</w:t>
      </w:r>
      <w:bookmarkEnd w:id="53"/>
    </w:p>
    <w:p>
      <w:pPr>
        <w:pStyle w:val="Heading2"/>
        <w:rPr/>
      </w:pPr>
      <w:bookmarkStart w:id="54" w:name="__RefHeading___Toc2641_2115258294"/>
      <w:bookmarkStart w:id="55" w:name="faith-redefined-as-a-force-or-formula"/>
      <w:bookmarkEnd w:id="54"/>
      <w:r>
        <w:rPr/>
        <w:t>4.2 Faith Redefined as a Force or Formula</w:t>
      </w:r>
    </w:p>
    <w:p>
      <w:pPr>
        <w:pStyle w:val="FirstParagraph"/>
        <w:rPr/>
      </w:pPr>
      <w:r>
        <w:rPr/>
        <w:t>A second, more actively harmful distortion, associated with prosperity and “word of faith” teaching, treats faith as a spiritual mechanism that obligates God to act — spoken words or sufficiently intense belief functioning almost as a lever that “releases” divine power.</w:t>
      </w:r>
    </w:p>
    <w:p>
      <w:pPr>
        <w:pStyle w:val="BodyText"/>
        <w:rPr/>
      </w:pPr>
      <w:r>
        <w:rPr/>
        <w:t>John MacArthur, critiquing this movement directly, quotes one of its own teachers stating the logic in its starkest form: “If you have faith, you release God to work. So if you’re afraid of Satan, you’ve bottled God and set Satan loose.”</w:t>
      </w:r>
      <w:r>
        <w:rPr>
          <w:rStyle w:val="FootnoteReference"/>
        </w:rPr>
        <w:footnoteReference w:id="28"/>
      </w:r>
      <w:r>
        <w:rPr/>
        <w:t xml:space="preserve"> MacArthur’s own diagnosis of the underlying theology is blunt: in this system, “God is not Lord of all, He can’t work unless we release Him to work, He is dependent on human instruments, He is dependent on human faith, and above all, He has to act in response to human words.”</w:t>
      </w:r>
      <w:r>
        <w:rPr>
          <w:rStyle w:val="FootnoteReference"/>
        </w:rPr>
        <w:footnoteReference w:id="29"/>
      </w:r>
    </w:p>
    <w:p>
      <w:pPr>
        <w:pStyle w:val="BodyText"/>
        <w:rPr/>
      </w:pPr>
      <w:bookmarkStart w:id="56" w:name="faith-redefined-as-a-force-or-formula"/>
      <w:r>
        <w:rPr/>
        <w:t>This inverts Ephesians 6:16 completely. The shield of faith is not a spiritual technology that manipulates outcomes; it is trust that rests in God’s own sovereign character precisely because the outcome is already in His hands, not the believer’s words. It is also, pastorally, a cruel doctrine: when the promised outcome fails to arrive, the only available explanation is that the sufferer did not believe hard enough.</w:t>
      </w:r>
      <w:bookmarkEnd w:id="56"/>
    </w:p>
    <w:p>
      <w:pPr>
        <w:pStyle w:val="Heading2"/>
        <w:rPr/>
      </w:pPr>
      <w:bookmarkStart w:id="57" w:name="__RefHeading___Toc2643_2115258294"/>
      <w:bookmarkStart w:id="58" w:name="X2a96d5c52fe3777bbc5830806781333958ed19a"/>
      <w:bookmarkEnd w:id="57"/>
      <w:r>
        <w:rPr/>
        <w:t>4.3 Passive Faith — Assuming the Shield Holds Itself Up</w:t>
      </w:r>
    </w:p>
    <w:p>
      <w:pPr>
        <w:pStyle w:val="FirstParagraph"/>
        <w:rPr/>
      </w:pPr>
      <w:r>
        <w:rPr/>
        <w:t>Ephesians 6:13 opens with an active command: “Therefore take up the whole armor of God, that you may be able to withstand in the evil day, and having done all, to stand.”</w:t>
      </w:r>
    </w:p>
    <w:p>
      <w:pPr>
        <w:pStyle w:val="BlockText"/>
        <w:rPr/>
      </w:pPr>
      <w:r>
        <w:rPr>
          <w:b/>
          <w:bCs/>
        </w:rPr>
        <w:t>Ephesians 6:13 (NKJV):</w:t>
      </w:r>
      <w:r>
        <w:rPr/>
        <w:t xml:space="preserve"> “Therefore take up the whole armor of God, that you may be able to withstand in the evil day, and having done all, to stand.”</w:t>
      </w:r>
    </w:p>
    <w:p>
      <w:pPr>
        <w:pStyle w:val="BlockText"/>
        <w:rPr/>
      </w:pPr>
      <w:r>
        <w:rPr>
          <w:b/>
          <w:bCs/>
        </w:rPr>
        <w:t>Summary:</w:t>
      </w:r>
      <w:r>
        <w:rPr/>
        <w:t xml:space="preserve"> Paul issues a direct command to actively take up the armor — the shield is something a soldier deliberately raises and positions, not equipment that floats into place unbidden.</w:t>
      </w:r>
    </w:p>
    <w:p>
      <w:pPr>
        <w:pStyle w:val="FirstParagraph"/>
        <w:rPr/>
      </w:pPr>
      <w:r>
        <w:rPr/>
        <w:t>The verb is ἀναλάβετε, an aorist active imperative in the second person plural — a direct order to do something.</w:t>
      </w:r>
      <w:r>
        <w:rPr>
          <w:rStyle w:val="FootnoteReference"/>
        </w:rPr>
        <w:footnoteReference w:id="30"/>
      </w:r>
      <w:r>
        <w:rPr/>
        <w:t xml:space="preserve"> The same verbal idea governs the shield in verse 16.</w:t>
      </w:r>
    </w:p>
    <w:p>
      <w:pPr>
        <w:pStyle w:val="BodyText"/>
        <w:rPr/>
      </w:pPr>
      <w:bookmarkStart w:id="59" w:name="X2a96d5c52fe3777bbc5830806781333958ed19a"/>
      <w:r>
        <w:rPr/>
        <w:t>Many believers, correctly holding that salvation is entirely God’s gift, quietly conclude that the ongoing exercise of faith in daily conflict is equally automatic, requiring no deliberate action on their part. But Scripture pictures the shield as something a soldier actively raises and positions, not armor that floats into place unbidden. A believer who has never been taught to actively, deliberately recall and speak specific truths about God’s character in the actual moment of temptation has not yet learned to use a shield they nonetheless correctly believe they possess.</w:t>
      </w:r>
      <w:bookmarkEnd w:id="59"/>
    </w:p>
    <w:p>
      <w:pPr>
        <w:pStyle w:val="Heading2"/>
        <w:rPr/>
      </w:pPr>
      <w:bookmarkStart w:id="60" w:name="__RefHeading___Toc2645_2115258294"/>
      <w:bookmarkStart w:id="61" w:name="X771ab2e657adb33d758616165be267c8bdf8169"/>
      <w:bookmarkEnd w:id="60"/>
      <w:r>
        <w:rPr/>
        <w:t>4.4 Individualism — Forgetting the Shield Is Also Corporate</w:t>
      </w:r>
    </w:p>
    <w:p>
      <w:pPr>
        <w:pStyle w:val="FirstParagraph"/>
        <w:rPr/>
      </w:pPr>
      <w:r>
        <w:rPr/>
        <w:t>The commands of Ephesians 6:10-18 are second person plural throughout. The opening imperative, ἐνδυναμοῦσθε (“be strong”), is second person plural;</w:t>
      </w:r>
      <w:r>
        <w:rPr>
          <w:rStyle w:val="FootnoteReference"/>
        </w:rPr>
        <w:footnoteReference w:id="31"/>
      </w:r>
      <w:r>
        <w:rPr/>
        <w:t xml:space="preserve"> so is ἀναλάβετε in verse 13.</w:t>
      </w:r>
      <w:r>
        <w:rPr>
          <w:rStyle w:val="FootnoteReference"/>
        </w:rPr>
        <w:footnoteReference w:id="32"/>
      </w:r>
    </w:p>
    <w:p>
      <w:pPr>
        <w:pStyle w:val="BlockText"/>
        <w:rPr/>
      </w:pPr>
      <w:r>
        <w:rPr>
          <w:b/>
          <w:bCs/>
        </w:rPr>
        <w:t>Ephesians 6:10 (NKJV):</w:t>
      </w:r>
      <w:r>
        <w:rPr/>
        <w:t xml:space="preserve"> “Finally, my brethren, be strong in the Lord and in the power of His might.”</w:t>
      </w:r>
    </w:p>
    <w:p>
      <w:pPr>
        <w:pStyle w:val="BlockText"/>
        <w:rPr/>
      </w:pPr>
      <w:r>
        <w:rPr>
          <w:b/>
          <w:bCs/>
        </w:rPr>
        <w:t>Summary:</w:t>
      </w:r>
      <w:r>
        <w:rPr/>
        <w:t xml:space="preserve"> Paul’s opening command to “be strong” is grammatically plural, addressed to a congregation standing together rather than to isolated individuals each managing a private shield.</w:t>
      </w:r>
    </w:p>
    <w:p>
      <w:pPr>
        <w:pStyle w:val="FirstParagraph"/>
        <w:rPr/>
      </w:pPr>
      <w:r>
        <w:rPr/>
        <w:t>Paul is addressing a congregation standing together, not isolated individuals each managing a private shield.</w:t>
      </w:r>
    </w:p>
    <w:p>
      <w:pPr>
        <w:pStyle w:val="BodyText"/>
        <w:rPr/>
      </w:pPr>
      <w:bookmarkStart w:id="62" w:name="X771ab2e657adb33d758616165be267c8bdf8169"/>
      <w:r>
        <w:rPr/>
        <w:t>A church culture shaped by individualistic assumptions about faith — each believer’s faith as strictly their own private business — works against the corporate means of strengthening faith already named in section 2.5. Leadership should ask directly whether the congregation’s actual practices (testimony, corporate prayer, mutual exhortation) treat faith as a shared shield wall or as a purely private possession. The honest answer is usually visible in the calendar rather than the doctrinal statement.</w:t>
      </w:r>
      <w:bookmarkEnd w:id="62"/>
    </w:p>
    <w:p>
      <w:pPr>
        <w:pStyle w:val="Heading2"/>
        <w:rPr/>
      </w:pPr>
      <w:bookmarkStart w:id="63" w:name="__RefHeading___Toc2647_2115258294"/>
      <w:bookmarkStart w:id="64" w:name="biblical-illiteracy"/>
      <w:bookmarkEnd w:id="63"/>
      <w:r>
        <w:rPr/>
        <w:t>4.5 Biblical Illiteracy</w:t>
      </w:r>
    </w:p>
    <w:p>
      <w:pPr>
        <w:pStyle w:val="FirstParagraph"/>
        <w:rPr/>
      </w:pPr>
      <w:r>
        <w:rPr/>
        <w:t>Since faith comes by hearing a specific message with definite content (section 2.1), a congregation with thin, infrequent, or purely passive exposure to Scripture cannot be expected to have a strong, ready shield, whatever its members’ sincerity. This is not a matter of intelligence or effort; it is a matter of the actual, stated mechanism by which Scripture says faith grows.</w:t>
      </w:r>
    </w:p>
    <w:p>
      <w:pPr>
        <w:pStyle w:val="BodyText"/>
        <w:rPr/>
      </w:pPr>
      <w:bookmarkStart w:id="65" w:name="biblical-illiteracy"/>
      <w:r>
        <w:rPr/>
        <w:t>The practical marker to watch for is not how many people own Bibles but how many can state, without looking, a specific promise of God that addresses the particular trouble they are currently in. A shield that has to be located before it can be raised is not much use in the moment the arrow arrives.</w:t>
      </w:r>
      <w:bookmarkEnd w:id="65"/>
    </w:p>
    <w:p>
      <w:pPr>
        <w:pStyle w:val="Heading2"/>
        <w:rPr/>
      </w:pPr>
      <w:bookmarkStart w:id="66" w:name="__RefHeading___Toc2649_2115258294"/>
      <w:bookmarkStart w:id="67" w:name="X304bad5b97b1e9a7e1de9c1f4644eb072ee2dd8"/>
      <w:bookmarkEnd w:id="66"/>
      <w:r>
        <w:rPr/>
        <w:t>4.6 A Therapeutic Christianity That Never Names the Battle</w:t>
      </w:r>
    </w:p>
    <w:p>
      <w:pPr>
        <w:pStyle w:val="FirstParagraph"/>
        <w:rPr/>
      </w:pPr>
      <w:r>
        <w:rPr/>
        <w:t>A congregation taught, implicitly or explicitly, that the Christian life is primarily about personal wellness, self-improvement, or emotional comfort will rarely reach for a “shield” at all, because it has not been taught that it is in a fight.</w:t>
      </w:r>
    </w:p>
    <w:p>
      <w:pPr>
        <w:pStyle w:val="BodyText"/>
        <w:rPr/>
      </w:pPr>
      <w:r>
        <w:rPr/>
        <w:t>The shield of faith goes unused less often because believers reject the doctrine than because their whole framework for what daily life is has quietly excluded the category of active spiritual conflict altogether. Note that this distortion is the hardest of the six to detect by questionnaire, because it does not deny anything. It simply never raises the subject.</w:t>
      </w:r>
    </w:p>
    <w:p>
      <w:pPr>
        <w:pStyle w:val="Normal"/>
        <w:rPr/>
      </w:pPr>
      <w:bookmarkStart w:id="68" w:name="Xcda839c8edf8fa9f7b185258d6b1894d5aa0107"/>
      <w:bookmarkStart w:id="69" w:name="X304bad5b97b1e9a7e1de9c1f4644eb072ee2dd8"/>
      <w:r>
        <w:rPr/>
        <mc:AlternateContent>
          <mc:Choice Requires="wps">
            <w:drawing>
              <wp:inline distT="0" distB="0" distL="0" distR="0">
                <wp:extent cx="5943600" cy="19050"/>
                <wp:effectExtent l="0" t="0" r="0" b="0"/>
                <wp:docPr id="13" name=""/>
                <a:graphic xmlns:a="http://schemas.openxmlformats.org/drawingml/2006/main">
                  <a:graphicData uri="http://schemas.microsoft.com/office/word/2010/wordprocessingShape">
                    <wps:wsp>
                      <wps:cNvSpPr/>
                      <wps:nvSpPr>
                        <wps:cNvPr id="14" name=""/>
                        <wps:cNvSpPr/>
                      </wps:nvSpPr>
                      <wps:spPr>
                        <a:xfrm>
                          <a:off x="0" y="0"/>
                          <a:ext cx="5943600" cy="19080"/>
                        </a:xfrm>
                        <a:prstGeom prst="rect">
                          <a:avLst/>
                        </a:prstGeom>
                        <a:solidFill>
                          <a:srgbClr val="ffffff"/>
                        </a:solidFill>
                        <a:ln w="0">
                          <a:solidFill>
                            <a:srgbClr val="000000"/>
                          </a:solidFill>
                        </a:ln>
                      </wps:spPr>
                      <wps:bodyPr/>
                    </wps:wsp>
                  </a:graphicData>
                </a:graphic>
                <wp14:sizeRelH relativeFrom="page">
                  <wp14:pctWidth>100000</wp14:pctWidth>
                </wp14:sizeRelH>
              </wp:inline>
            </w:drawing>
          </mc:Choice>
          <mc:Fallback>
            <w:pict>
              <v:rect id="shape_0" fillcolor="white" stroked="t" o:allowincell="f" style="position:absolute;margin-left:0pt;margin-top:-1.55pt;width:467.95pt;height:1.45pt;mso-wrap-style:none;v-text-anchor:middle;mso-position-horizontal:center;mso-position-vertical:top">
                <v:fill o:detectmouseclick="t" type="solid" color2="black"/>
                <v:stroke color="black" joinstyle="round" endcap="flat"/>
                <w10:wrap type="topAndBottom"/>
              </v:rect>
            </w:pict>
          </mc:Fallback>
        </mc:AlternateContent>
      </w:r>
      <w:bookmarkEnd w:id="68"/>
      <w:bookmarkEnd w:id="69"/>
    </w:p>
    <w:p>
      <w:pPr>
        <w:pStyle w:val="Heading1"/>
        <w:rPr/>
      </w:pPr>
      <w:bookmarkStart w:id="70" w:name="__RefHeading___Toc2651_2115258294"/>
      <w:bookmarkStart w:id="71" w:name="X9f959682ad7ca0b61b11d9828478833e3261a58"/>
      <w:bookmarkEnd w:id="70"/>
      <w:r>
        <w:rPr/>
        <w:t>Part Five: Helping a Believer Personally Develop and Use the Shield in Battle</w:t>
      </w:r>
    </w:p>
    <w:p>
      <w:pPr>
        <w:pStyle w:val="Heading2"/>
        <w:rPr/>
      </w:pPr>
      <w:bookmarkStart w:id="72" w:name="__RefHeading___Toc2653_2115258294"/>
      <w:bookmarkStart w:id="73" w:name="Xa7a2e4b588e716efdd54ac5c8a06b892d18605b"/>
      <w:bookmarkEnd w:id="72"/>
      <w:r>
        <w:rPr/>
        <w:t>5.1 Build the Shield Before the Attack, Not During It</w:t>
      </w:r>
    </w:p>
    <w:p>
      <w:pPr>
        <w:pStyle w:val="FirstParagraph"/>
        <w:rPr/>
      </w:pPr>
      <w:r>
        <w:rPr/>
        <w:t>Because faith grows through hearing, testing, prayer, remembrance, and community (Part Two), the shield’s readiness is mostly determined long before any specific fiery dart arrives.</w:t>
      </w:r>
    </w:p>
    <w:p>
      <w:pPr>
        <w:pStyle w:val="BodyText"/>
        <w:rPr/>
      </w:pPr>
      <w:bookmarkStart w:id="74" w:name="Xa7a2e4b588e716efdd54ac5c8a06b892d18605b"/>
      <w:r>
        <w:rPr/>
        <w:t>Encourage believers to treat regular Scripture intake, prayer, and honest participation in the church’s corporate life as shield-maintenance, not as unrelated religious duties. The connection between “I read my Bible and prayed today” and “I was able to stand firm tonight” is not sentimental; it is the very mechanism Romans 10:17 describes.</w:t>
      </w:r>
      <w:bookmarkEnd w:id="74"/>
    </w:p>
    <w:p>
      <w:pPr>
        <w:pStyle w:val="Heading2"/>
        <w:rPr/>
      </w:pPr>
      <w:bookmarkStart w:id="75" w:name="__RefHeading___Toc2655_2115258294"/>
      <w:bookmarkStart w:id="76" w:name="learn-to-name-the-specific-dart"/>
      <w:bookmarkEnd w:id="75"/>
      <w:r>
        <w:rPr/>
        <w:t>5.2 Learn to Name the Specific Dart</w:t>
      </w:r>
    </w:p>
    <w:p>
      <w:pPr>
        <w:pStyle w:val="FirstParagraph"/>
        <w:rPr/>
      </w:pPr>
      <w:r>
        <w:rPr/>
        <w:t>A vague sense of spiritual struggle is hard to fight. Help believers practice naming the specific lie or fear a given attack is actually carrying — “I am too far gone for God to still love me,” “this feeling will never lift,” “everyone else has real faith and I don’t.” A shield can only be positioned against an identified attack, not a generalized bad mood.</w:t>
      </w:r>
    </w:p>
    <w:p>
      <w:pPr>
        <w:pStyle w:val="BodyText"/>
        <w:rPr/>
      </w:pPr>
      <w:bookmarkStart w:id="77" w:name="learn-to-name-the-specific-dart"/>
      <w:r>
        <w:rPr/>
        <w:t>This is a teachable skill, and most people have never been shown it. Naming the dart converts an overwhelming atmosphere into a specific claim, and a specific claim can be answered.</w:t>
      </w:r>
      <w:bookmarkEnd w:id="77"/>
    </w:p>
    <w:p>
      <w:pPr>
        <w:pStyle w:val="Heading2"/>
        <w:rPr/>
      </w:pPr>
      <w:bookmarkStart w:id="78" w:name="__RefHeading___Toc2657_2115258294"/>
      <w:bookmarkStart w:id="79" w:name="X43ae5a0bfb45681f06af57bda1810cd77f05cfd"/>
      <w:bookmarkEnd w:id="78"/>
      <w:r>
        <w:rPr/>
        <w:t>5.3 Answer the Specific Dart With a Specific Truth</w:t>
      </w:r>
    </w:p>
    <w:p>
      <w:pPr>
        <w:pStyle w:val="FirstParagraph"/>
        <w:rPr/>
      </w:pPr>
      <w:r>
        <w:rPr/>
        <w:t>Once a lie is named, help the believer locate — in advance where possible, and in the moment where necessary — the specific Scripture that answers it directly. This is the same logic already studied with the sword in Ephesians 6:17: the sword of the Spirit is not the whole Bible swung as a blunt object but the particular word of God applied to the particular need.</w:t>
      </w:r>
    </w:p>
    <w:p>
      <w:pPr>
        <w:pStyle w:val="BlockText"/>
        <w:rPr/>
      </w:pPr>
      <w:r>
        <w:rPr>
          <w:b/>
          <w:bCs/>
        </w:rPr>
        <w:t>Ephesians 6:17 (NKJV):</w:t>
      </w:r>
      <w:r>
        <w:rPr/>
        <w:t xml:space="preserve"> “And take the helmet of salvation, and the sword of the Spirit, which is the word of God;”</w:t>
      </w:r>
    </w:p>
    <w:p>
      <w:pPr>
        <w:pStyle w:val="BlockText"/>
        <w:rPr/>
      </w:pPr>
      <w:r>
        <w:rPr>
          <w:b/>
          <w:bCs/>
        </w:rPr>
        <w:t>Summary:</w:t>
      </w:r>
      <w:r>
        <w:rPr/>
        <w:t xml:space="preserve"> Paul names Scripture itself as the believer’s offensive weapon — the same specific-word-to-specific-need logic this section applies to answering a named lie with a named truth.</w:t>
      </w:r>
    </w:p>
    <w:p>
      <w:pPr>
        <w:pStyle w:val="FirstParagraph"/>
        <w:rPr/>
      </w:pPr>
      <w:r>
        <w:rPr/>
        <w:t>A personal, written list of specific temptations paired with specific verses, prepared in a calm moment and reviewed regularly, is one of the most practically effective tools a believer can build. It turns “I should have more faith” into a concrete, repeatable action.</w:t>
      </w:r>
    </w:p>
    <w:p>
      <w:pPr>
        <w:pStyle w:val="BodyText"/>
        <w:rPr/>
      </w:pPr>
      <w:r>
        <w:rPr>
          <w:b/>
          <w:bCs/>
        </w:rPr>
        <w:t>A note carried forward from the study of Ephesians 6:17.</w:t>
      </w:r>
      <w:r>
        <w:rPr/>
        <w:t xml:space="preserve"> The sword Paul names there is the μάχαιρα. LSJ describes it as a “curved sword, for a cutting stroke,” and “later, sabre, opp. the straight sword (ξίφος).”</w:t>
      </w:r>
      <w:r>
        <w:rPr>
          <w:rStyle w:val="FootnoteReference"/>
        </w:rPr>
        <w:footnoteReference w:id="33"/>
      </w:r>
      <w:r>
        <w:rPr/>
        <w:t xml:space="preserve"> Abbott-Smith likewise defines it as “a short sword or dagger (as disting. from ῥομφαία, a large broad sword and ξίφος, a straight sword for thrusting).”</w:t>
      </w:r>
      <w:r>
        <w:rPr>
          <w:rStyle w:val="FootnoteReference"/>
        </w:rPr>
        <w:footnoteReference w:id="34"/>
      </w:r>
      <w:r>
        <w:rPr/>
        <w:t xml:space="preserve"> Earlier material in this series described the μάχαιρα as a weapon used mainly for stabbing; that is inaccurate and should be dropped. The lexicons place the cutting stroke with the μάχαιρα and the thrust with the ξίφος. The teaching point is unaffected and if anything improved: Scripture applied to a named lie </w:t>
      </w:r>
      <w:r>
        <w:rPr>
          <w:i/>
          <w:iCs/>
        </w:rPr>
        <w:t>cuts</w:t>
      </w:r>
      <w:r>
        <w:rPr/>
        <w:t>, cleanly separating the lie from the truth it was imitating (compare Hebrews 4:12).</w:t>
      </w:r>
    </w:p>
    <w:p>
      <w:pPr>
        <w:pStyle w:val="BlockText"/>
        <w:rPr/>
      </w:pPr>
      <w:r>
        <w:rPr>
          <w:b/>
          <w:bCs/>
        </w:rPr>
        <w:t>Hebrews 4:12 (NKJV):</w:t>
      </w:r>
      <w:r>
        <w:rPr/>
        <w:t xml:space="preserve"> “For the word of God is living and powerful, and sharper than any two-edged sword, piercing even to the division of soul and spirit, and of joints and marrow, and is a discerner of the thoughts and intents of the heart.”</w:t>
      </w:r>
    </w:p>
    <w:p>
      <w:pPr>
        <w:pStyle w:val="BlockText"/>
        <w:rPr/>
      </w:pPr>
      <w:r>
        <w:rPr>
          <w:b/>
          <w:bCs/>
        </w:rPr>
        <w:t>Summary:</w:t>
      </w:r>
      <w:r>
        <w:rPr/>
        <w:t xml:space="preserve"> The writer of Hebrews pictures the word of God as a living, two-edged sword that cuts cleanly — the same cutting action this section attributes to Scripture applied precisely against a named lie.</w:t>
      </w:r>
      <w:bookmarkEnd w:id="79"/>
    </w:p>
    <w:p>
      <w:pPr>
        <w:pStyle w:val="Heading2"/>
        <w:rPr/>
      </w:pPr>
      <w:bookmarkStart w:id="80" w:name="__RefHeading___Toc2659_2115258294"/>
      <w:bookmarkStart w:id="81" w:name="keep-a-record-of-answered-prayer"/>
      <w:bookmarkEnd w:id="80"/>
      <w:r>
        <w:rPr/>
        <w:t>5.4 Keep a Record of Answered Prayer</w:t>
      </w:r>
    </w:p>
    <w:p>
      <w:pPr>
        <w:pStyle w:val="FirstParagraph"/>
        <w:rPr/>
      </w:pPr>
      <w:r>
        <w:rPr/>
        <w:t>Encourage a simple, ongoing personal record — a journal, a list, even a single page — of specific times God has proven faithful.</w:t>
      </w:r>
    </w:p>
    <w:p>
      <w:pPr>
        <w:pStyle w:val="BodyText"/>
        <w:rPr/>
      </w:pPr>
      <w:bookmarkStart w:id="82" w:name="keep-a-record-of-answered-prayer"/>
      <w:r>
        <w:rPr/>
        <w:t>Psalm 77:11’s discipline of deliberate remembering (section 2.4) is not primarily a devotional nicety; it is raw material for the shield, so that the next attack is met with an actual, rehearsed history rather than an untested hope. A written record also survives the memory failure that grief and fear reliably produce. The point of writing it down is that the person who will need it will not be in a condition to recall it.</w:t>
      </w:r>
      <w:bookmarkEnd w:id="82"/>
    </w:p>
    <w:p>
      <w:pPr>
        <w:pStyle w:val="Heading2"/>
        <w:rPr/>
      </w:pPr>
      <w:bookmarkStart w:id="83" w:name="__RefHeading___Toc2661_2115258294"/>
      <w:bookmarkStart w:id="84" w:name="X81016e9ca55bdd5b5d740eeac2f74dfcbd1bd09"/>
      <w:bookmarkEnd w:id="83"/>
      <w:r>
        <w:rPr/>
        <w:t>5.5 Practice Raising the Shield in Small Moments</w:t>
      </w:r>
    </w:p>
    <w:p>
      <w:pPr>
        <w:pStyle w:val="FirstParagraph"/>
        <w:rPr/>
      </w:pPr>
      <w:r>
        <w:rPr/>
        <w:t>A believer who has never practiced actively, deliberately exercising trust in smaller daily anxieties is unlikely to suddenly manage it under the pressure of a genuine fiery dart.</w:t>
      </w:r>
    </w:p>
    <w:p>
      <w:pPr>
        <w:pStyle w:val="BodyText"/>
        <w:rPr/>
      </w:pPr>
      <w:bookmarkStart w:id="85" w:name="X81016e9ca55bdd5b5d740eeac2f74dfcbd1bd09"/>
      <w:r>
        <w:rPr/>
        <w:t>Encourage believers to treat ordinary daily worries as practice ground. Consciously, verbally handing a small fear to God builds the same muscle that a major spiritual attack will later require. No soldier picks up a shield for the first time in combat.</w:t>
      </w:r>
      <w:bookmarkEnd w:id="85"/>
    </w:p>
    <w:p>
      <w:pPr>
        <w:pStyle w:val="Heading2"/>
        <w:rPr/>
      </w:pPr>
      <w:bookmarkStart w:id="86" w:name="__RefHeading___Toc2663_2115258294"/>
      <w:bookmarkStart w:id="87" w:name="do-not-fight-alone"/>
      <w:bookmarkEnd w:id="86"/>
      <w:r>
        <w:rPr/>
        <w:t>5.6 Do Not Fight Alone</w:t>
      </w:r>
    </w:p>
    <w:p>
      <w:pPr>
        <w:pStyle w:val="FirstParagraph"/>
        <w:rPr/>
      </w:pPr>
      <w:r>
        <w:rPr/>
        <w:t>Given the corporate dimension already established (sections 2.5 and 4.4), actively connect struggling believers to specific people — not merely “the church” in the abstract — who can pray with them by name and remind them of God’s specific faithfulness when their own memory of it goes dark under pressure.</w:t>
      </w:r>
    </w:p>
    <w:p>
      <w:pPr>
        <w:pStyle w:val="BodyText"/>
        <w:rPr/>
      </w:pPr>
      <w:r>
        <w:rPr/>
        <w:t>The assignment should be concrete: a name, a phone number, an agreed time. “Reach out if you need anything” is not a shield wall.</w:t>
      </w:r>
    </w:p>
    <w:p>
      <w:pPr>
        <w:pStyle w:val="Normal"/>
        <w:rPr/>
      </w:pPr>
      <w:bookmarkStart w:id="88" w:name="X9f959682ad7ca0b61b11d9828478833e3261a58"/>
      <w:bookmarkStart w:id="89" w:name="do-not-fight-alone"/>
      <w:r>
        <w:rPr/>
        <mc:AlternateContent>
          <mc:Choice Requires="wps">
            <w:drawing>
              <wp:inline distT="0" distB="0" distL="0" distR="0">
                <wp:extent cx="5943600" cy="19050"/>
                <wp:effectExtent l="0" t="0" r="0" b="0"/>
                <wp:docPr id="15" name=""/>
                <a:graphic xmlns:a="http://schemas.openxmlformats.org/drawingml/2006/main">
                  <a:graphicData uri="http://schemas.microsoft.com/office/word/2010/wordprocessingShape">
                    <wps:wsp>
                      <wps:cNvSpPr/>
                      <wps:nvSpPr>
                        <wps:cNvPr id="16" name=""/>
                        <wps:cNvSpPr/>
                      </wps:nvSpPr>
                      <wps:spPr>
                        <a:xfrm>
                          <a:off x="0" y="0"/>
                          <a:ext cx="5943600" cy="19080"/>
                        </a:xfrm>
                        <a:prstGeom prst="rect">
                          <a:avLst/>
                        </a:prstGeom>
                        <a:solidFill>
                          <a:srgbClr val="ffffff"/>
                        </a:solidFill>
                        <a:ln w="0">
                          <a:solidFill>
                            <a:srgbClr val="000000"/>
                          </a:solidFill>
                        </a:ln>
                      </wps:spPr>
                      <wps:bodyPr/>
                    </wps:wsp>
                  </a:graphicData>
                </a:graphic>
                <wp14:sizeRelH relativeFrom="page">
                  <wp14:pctWidth>100000</wp14:pctWidth>
                </wp14:sizeRelH>
              </wp:inline>
            </w:drawing>
          </mc:Choice>
          <mc:Fallback>
            <w:pict>
              <v:rect id="shape_0" fillcolor="white" stroked="t" o:allowincell="f" style="position:absolute;margin-left:0pt;margin-top:-1.55pt;width:467.95pt;height:1.45pt;mso-wrap-style:none;v-text-anchor:middle;mso-position-horizontal:center;mso-position-vertical:top">
                <v:fill o:detectmouseclick="t" type="solid" color2="black"/>
                <v:stroke color="black" joinstyle="round" endcap="flat"/>
                <w10:wrap type="topAndBottom"/>
              </v:rect>
            </w:pict>
          </mc:Fallback>
        </mc:AlternateContent>
      </w:r>
      <w:bookmarkEnd w:id="88"/>
      <w:bookmarkEnd w:id="89"/>
    </w:p>
    <w:p>
      <w:pPr>
        <w:pStyle w:val="Heading1"/>
        <w:rPr/>
      </w:pPr>
      <w:bookmarkStart w:id="90" w:name="__RefHeading___Toc2665_2115258294"/>
      <w:bookmarkStart w:id="91" w:name="Xa5348edf0a851caffc98da34cde7f9680571e07"/>
      <w:bookmarkEnd w:id="90"/>
      <w:r>
        <w:rPr/>
        <w:t>Part Six: Parallel Passages and Images of the Shield of Faith</w:t>
      </w:r>
    </w:p>
    <w:p>
      <w:pPr>
        <w:pStyle w:val="FirstParagraph"/>
        <w:rPr/>
      </w:pPr>
      <w:r>
        <w:rPr/>
        <w:t>A believer facing active spiritual pressure benefits from more than Ephesians 6:16 alone. Scripture returns to the image of God as shield and faith as protection repeatedly, in different words and different pictures, and a rich personal or congregational memory of these texts strengthens exactly the kind of rehearsed truth this study has already commended. The Septuagint’s use of θυρεός for the main Hebrew shield-words (section 1.5) means these Old Testament texts stand directly behind Paul’s image.</w:t>
      </w:r>
    </w:p>
    <w:p>
      <w:pPr>
        <w:pStyle w:val="BodyText"/>
        <w:rPr/>
      </w:pPr>
      <w:r>
        <w:rPr>
          <w:b/>
          <w:bCs/>
        </w:rPr>
        <w:t>Genesis 15:1</w:t>
      </w:r>
      <w:r>
        <w:rPr/>
        <w:t xml:space="preserve"> — God’s own first recorded self-description as a shield: “After these things the word of the LORD came to Abram in a vision, saying, ‘Do not be afraid, Abram. I am your shield, your exceedingly great reward.’”</w:t>
      </w:r>
    </w:p>
    <w:p>
      <w:pPr>
        <w:pStyle w:val="BlockText"/>
        <w:rPr/>
      </w:pPr>
      <w:r>
        <w:rPr>
          <w:b/>
          <w:bCs/>
        </w:rPr>
        <w:t>Genesis 15:1 (NKJV):</w:t>
      </w:r>
      <w:r>
        <w:rPr/>
        <w:t xml:space="preserve"> “After these things the word of the LORD came to Abram in a vision, saying, ‘Do not be afraid, Abram. I am your shield, your exceedingly great reward.’”</w:t>
      </w:r>
    </w:p>
    <w:p>
      <w:pPr>
        <w:pStyle w:val="BlockText"/>
        <w:rPr/>
      </w:pPr>
      <w:r>
        <w:rPr>
          <w:b/>
          <w:bCs/>
        </w:rPr>
        <w:t>Summary:</w:t>
      </w:r>
      <w:r>
        <w:rPr/>
        <w:t xml:space="preserve"> God’s first recorded self-description as a shield is a personal claim, not an offer of equipment — He does not promise Abram a shield, He says He personally is one.</w:t>
      </w:r>
    </w:p>
    <w:p>
      <w:pPr>
        <w:pStyle w:val="FirstParagraph"/>
        <w:rPr/>
      </w:pPr>
      <w:r>
        <w:rPr/>
        <w:t xml:space="preserve">The Hebrew word is </w:t>
      </w:r>
      <w:r>
        <w:rPr>
          <w:rtl w:val="true"/>
        </w:rPr>
        <w:t>מָגֵן</w:t>
      </w:r>
      <w:r>
        <w:rPr/>
        <w:t>, which Brown-Driver-Briggs defines simply as “shield, buckler.”</w:t>
      </w:r>
      <w:r>
        <w:rPr>
          <w:rStyle w:val="FootnoteReference"/>
        </w:rPr>
        <w:footnoteReference w:id="35"/>
      </w:r>
      <w:r>
        <w:rPr/>
        <w:t xml:space="preserve"> Notice what God does </w:t>
      </w:r>
      <w:r>
        <w:rPr>
          <w:i/>
          <w:iCs/>
        </w:rPr>
        <w:t>not</w:t>
      </w:r>
      <w:r>
        <w:rPr/>
        <w:t xml:space="preserve"> say. He does not promise to give Abram a shield. He says He personally </w:t>
      </w:r>
      <w:r>
        <w:rPr>
          <w:i/>
          <w:iCs/>
        </w:rPr>
        <w:t>is</w:t>
      </w:r>
      <w:r>
        <w:rPr/>
        <w:t xml:space="preserve"> one.</w:t>
      </w:r>
    </w:p>
    <w:p>
      <w:pPr>
        <w:pStyle w:val="BodyText"/>
        <w:rPr/>
      </w:pPr>
      <w:r>
        <w:rPr>
          <w:b/>
          <w:bCs/>
        </w:rPr>
        <w:t>Psalm 3:3</w:t>
      </w:r>
      <w:r>
        <w:rPr/>
        <w:t xml:space="preserve"> — “But You, O LORD, are a shield for me, My glory and the One who lifts up my head.”</w:t>
      </w:r>
    </w:p>
    <w:p>
      <w:pPr>
        <w:pStyle w:val="BlockText"/>
        <w:rPr/>
      </w:pPr>
      <w:r>
        <w:rPr>
          <w:b/>
          <w:bCs/>
        </w:rPr>
        <w:t>Psalm 3:3 (NKJV):</w:t>
      </w:r>
      <w:r>
        <w:rPr/>
        <w:t xml:space="preserve"> “But You, O LORD, are a shield for me, My glory and the One who lifts up my head.”</w:t>
      </w:r>
    </w:p>
    <w:p>
      <w:pPr>
        <w:pStyle w:val="BlockText"/>
        <w:rPr/>
      </w:pPr>
      <w:r>
        <w:rPr>
          <w:b/>
          <w:bCs/>
        </w:rPr>
        <w:t>Summary:</w:t>
      </w:r>
      <w:r>
        <w:rPr/>
        <w:t xml:space="preserve"> David again calls God Himself, not any equipment, his shield — the very thing Ephesians 6:16’s faith is trusting.</w:t>
      </w:r>
    </w:p>
    <w:p>
      <w:pPr>
        <w:pStyle w:val="FirstParagraph"/>
        <w:rPr/>
      </w:pPr>
      <w:r>
        <w:rPr/>
        <w:t xml:space="preserve">Again </w:t>
      </w:r>
      <w:r>
        <w:rPr>
          <w:rtl w:val="true"/>
        </w:rPr>
        <w:t>מָגֵן</w:t>
      </w:r>
      <w:r>
        <w:rPr/>
        <w:t>, and again the shield is a person, not equipment. The verse is worth teaching alongside Ephesians 6:16 precisely because it supplies what the armor passage assumes: the thing faith is trusting is God Himself.</w:t>
      </w:r>
    </w:p>
    <w:p>
      <w:pPr>
        <w:pStyle w:val="BodyText"/>
        <w:rPr/>
      </w:pPr>
      <w:r>
        <w:rPr>
          <w:b/>
          <w:bCs/>
        </w:rPr>
        <w:t>Psalm 18:2, 30, 35</w:t>
      </w:r>
      <w:r>
        <w:rPr/>
        <w:t xml:space="preserve"> — “The LORD is my rock and my fortress and my deliverer; my God, my strength, in whom I will trust; my shield and the horn of my salvation” (Psalm 18:2); “As for God, His way is perfect… He is a shield to all who trust in Him” (Psalm 18:30); “You have also given me the shield of Your salvation” (Psalm 18:35).</w:t>
      </w:r>
    </w:p>
    <w:p>
      <w:pPr>
        <w:pStyle w:val="BlockText"/>
        <w:rPr/>
      </w:pPr>
      <w:r>
        <w:rPr>
          <w:b/>
          <w:bCs/>
        </w:rPr>
        <w:t>Psalm 18:2, 30, 35 (NKJV):</w:t>
      </w:r>
      <w:r>
        <w:rPr/>
        <w:t xml:space="preserve"> “The LORD is my rock and my fortress and my deliverer; My God, my strength, in whom I will trust; My shield and the horn of my salvation, my stronghold… As for God, His way is perfect; The word of the LORD is proven; He is a shield to all who trust in Him… You have also given me the shield of Your salvation; Your right hand has held me up, Your gentleness has made me great.”</w:t>
      </w:r>
    </w:p>
    <w:p>
      <w:pPr>
        <w:pStyle w:val="BlockText"/>
        <w:rPr/>
      </w:pPr>
      <w:r>
        <w:rPr>
          <w:b/>
          <w:bCs/>
        </w:rPr>
        <w:t>Summary:</w:t>
      </w:r>
      <w:r>
        <w:rPr/>
        <w:t xml:space="preserve"> Across a single psalm the same word describes God Himself, His reliability toward all who trust Him, and the specific salvation He supplies — three angles on one shield.</w:t>
      </w:r>
    </w:p>
    <w:p>
      <w:pPr>
        <w:pStyle w:val="FirstParagraph"/>
        <w:rPr/>
      </w:pPr>
      <w:r>
        <w:rPr/>
        <w:t xml:space="preserve">The same word, </w:t>
      </w:r>
      <w:r>
        <w:rPr>
          <w:rtl w:val="true"/>
        </w:rPr>
        <w:t>מָגֵן</w:t>
      </w:r>
      <w:r>
        <w:rPr/>
        <w:t>, is used across a single psalm to describe God Himself, His reliability toward “all who trust in Him,” and the specific salvation He supplies as a shield.</w:t>
      </w:r>
    </w:p>
    <w:p>
      <w:pPr>
        <w:pStyle w:val="BodyText"/>
        <w:rPr/>
      </w:pPr>
      <w:r>
        <w:rPr>
          <w:b/>
          <w:bCs/>
        </w:rPr>
        <w:t>2 Samuel 22:31</w:t>
      </w:r>
      <w:r>
        <w:rPr/>
        <w:t xml:space="preserve"> repeats this language nearly verbatim: “As for God, His way is perfect; the word of the LORD is proven; He is a shield to all who trust in Him.”</w:t>
      </w:r>
    </w:p>
    <w:p>
      <w:pPr>
        <w:pStyle w:val="BlockText"/>
        <w:rPr/>
      </w:pPr>
      <w:r>
        <w:rPr>
          <w:b/>
          <w:bCs/>
        </w:rPr>
        <w:t>2 Samuel 22:31 (NKJV):</w:t>
      </w:r>
      <w:r>
        <w:rPr/>
        <w:t xml:space="preserve"> “As for God, His way is perfect; The word of the Lord is proven; He is a shield to all who trust in Him.”</w:t>
      </w:r>
    </w:p>
    <w:p>
      <w:pPr>
        <w:pStyle w:val="BlockText"/>
        <w:rPr/>
      </w:pPr>
      <w:r>
        <w:rPr>
          <w:b/>
          <w:bCs/>
        </w:rPr>
        <w:t>Summary:</w:t>
      </w:r>
      <w:r>
        <w:rPr/>
        <w:t xml:space="preserve"> This near-duplicate of Psalm 18:30 ties God’s own proven word directly to His role as shield — the same “proof” language Hebrews 11:1 uses for faith’s own evidence.</w:t>
      </w:r>
    </w:p>
    <w:p>
      <w:pPr>
        <w:pStyle w:val="FirstParagraph"/>
        <w:rPr/>
      </w:pPr>
      <w:r>
        <w:rPr/>
        <w:t xml:space="preserve">Note the middle clause: God’s word is </w:t>
      </w:r>
      <w:r>
        <w:rPr>
          <w:i/>
          <w:iCs/>
        </w:rPr>
        <w:t>proven</w:t>
      </w:r>
      <w:r>
        <w:rPr/>
        <w:t xml:space="preserve"> — the same idea as the ἔλεγχος of Hebrews 11:1, established and tested.</w:t>
      </w:r>
    </w:p>
    <w:p>
      <w:pPr>
        <w:pStyle w:val="BodyText"/>
        <w:rPr/>
      </w:pPr>
      <w:r>
        <w:rPr>
          <w:b/>
          <w:bCs/>
        </w:rPr>
        <w:t>Proverbs 30:5</w:t>
      </w:r>
      <w:r>
        <w:rPr/>
        <w:t xml:space="preserve"> — “Every word of God is pure; He is a shield to those who put their trust in Him.”</w:t>
      </w:r>
    </w:p>
    <w:p>
      <w:pPr>
        <w:pStyle w:val="BlockText"/>
        <w:rPr/>
      </w:pPr>
      <w:r>
        <w:rPr>
          <w:b/>
          <w:bCs/>
        </w:rPr>
        <w:t>Proverbs 30:5 (NKJV):</w:t>
      </w:r>
      <w:r>
        <w:rPr/>
        <w:t xml:space="preserve"> “Every word of God is pure; He is a shield to those who put their trust in Him.”</w:t>
      </w:r>
    </w:p>
    <w:p>
      <w:pPr>
        <w:pStyle w:val="BlockText"/>
        <w:rPr/>
      </w:pPr>
      <w:r>
        <w:rPr>
          <w:b/>
          <w:bCs/>
        </w:rPr>
        <w:t>Summary:</w:t>
      </w:r>
      <w:r>
        <w:rPr/>
        <w:t xml:space="preserve"> Proverbs again ties God’s shielding directly to His own words, echoing this study’s earlier point that faith rests on a specific message with definite content, not a vague trust.</w:t>
      </w:r>
    </w:p>
    <w:p>
      <w:pPr>
        <w:pStyle w:val="FirstParagraph"/>
        <w:rPr/>
      </w:pPr>
      <w:r>
        <w:rPr/>
        <w:t xml:space="preserve">Again </w:t>
      </w:r>
      <w:r>
        <w:rPr>
          <w:rtl w:val="true"/>
        </w:rPr>
        <w:t>מָגֵן</w:t>
      </w:r>
      <w:r>
        <w:rPr/>
        <w:t>, and again tied directly to God’s own words, echoing this study’s earlier point (section 2.1) that faith rests on a specific message with definite content.</w:t>
      </w:r>
    </w:p>
    <w:p>
      <w:pPr>
        <w:pStyle w:val="BodyText"/>
        <w:rPr/>
      </w:pPr>
      <w:r>
        <w:rPr>
          <w:b/>
          <w:bCs/>
        </w:rPr>
        <w:t>Psalm 91:4</w:t>
      </w:r>
      <w:r>
        <w:rPr/>
        <w:t xml:space="preserve"> — “He shall cover you with His feathers, and under His wings you shall take refuge; His truth shall be your shield and buckler.”</w:t>
      </w:r>
    </w:p>
    <w:p>
      <w:pPr>
        <w:pStyle w:val="BlockText"/>
        <w:rPr/>
      </w:pPr>
      <w:r>
        <w:rPr>
          <w:b/>
          <w:bCs/>
        </w:rPr>
        <w:t>Psalm 91:4 (NKJV):</w:t>
      </w:r>
      <w:r>
        <w:rPr/>
        <w:t xml:space="preserve"> “He shall cover you with His feathers, And under His wings you shall take refuge; His truth shall be your shield and buckler.”</w:t>
      </w:r>
    </w:p>
    <w:p>
      <w:pPr>
        <w:pStyle w:val="BlockText"/>
        <w:rPr/>
      </w:pPr>
      <w:r>
        <w:rPr>
          <w:b/>
          <w:bCs/>
        </w:rPr>
        <w:t>Summary:</w:t>
      </w:r>
      <w:r>
        <w:rPr/>
        <w:t xml:space="preserve"> The psalmist piles up two Hebrew shield-words to describe one comprehensive covering, and names what actually does the shielding as God’s own truth or faithfulness, not the believer’s grip on it.</w:t>
      </w:r>
    </w:p>
    <w:p>
      <w:pPr>
        <w:pStyle w:val="FirstParagraph"/>
        <w:rPr/>
      </w:pPr>
      <w:r>
        <w:rPr/>
        <w:t xml:space="preserve">Here two different Hebrew words appear together. The first is </w:t>
      </w:r>
      <w:r>
        <w:rPr>
          <w:rtl w:val="true"/>
        </w:rPr>
        <w:t>צִנָּה</w:t>
      </w:r>
      <w:r>
        <w:rPr/>
        <w:t xml:space="preserve">, which BDB defines as “large shield (covering whole body),” noting explicitly that it is “larger than </w:t>
      </w:r>
      <w:r>
        <w:rPr>
          <w:rtl w:val="true"/>
        </w:rPr>
        <w:t>מָגֵן</w:t>
      </w:r>
      <w:r>
        <w:rPr/>
        <w:t>.”</w:t>
      </w:r>
      <w:r>
        <w:rPr>
          <w:rStyle w:val="FootnoteReference"/>
        </w:rPr>
        <w:footnoteReference w:id="36"/>
      </w:r>
      <w:r>
        <w:rPr/>
        <w:t xml:space="preserve"> The second is </w:t>
      </w:r>
      <w:r>
        <w:rPr>
          <w:rtl w:val="true"/>
        </w:rPr>
        <w:t>סֹחֵרָה</w:t>
      </w:r>
      <w:r>
        <w:rPr/>
        <w:t xml:space="preserve">, which BDB gives simply as “buckler,” recording its single occurrence at Psalm 91:4 alongside </w:t>
      </w:r>
      <w:r>
        <w:rPr>
          <w:rtl w:val="true"/>
        </w:rPr>
        <w:t>צִנָּה</w:t>
      </w:r>
      <w:r>
        <w:rPr/>
        <w:t xml:space="preserve"> </w:t>
      </w:r>
      <w:r>
        <w:rPr/>
        <w:t xml:space="preserve">and describing it as “figurative of </w:t>
      </w:r>
      <w:r>
        <w:rPr>
          <w:rtl w:val="true"/>
        </w:rPr>
        <w:t>י’ה</w:t>
      </w:r>
      <w:r>
        <w:rPr/>
        <w:t>’</w:t>
      </w:r>
      <w:r>
        <w:rPr/>
        <w:t>s faithfulness.”</w:t>
      </w:r>
      <w:r>
        <w:rPr>
          <w:rStyle w:val="FootnoteReference"/>
        </w:rPr>
        <w:footnoteReference w:id="37"/>
      </w:r>
      <w:r>
        <w:rPr/>
        <w:t xml:space="preserve"> Two observations follow. First, the psalmist piles up two shield-words to describe one comprehensive covering. Second — and this is worth stating carefully — BDB does not describe </w:t>
      </w:r>
      <w:r>
        <w:rPr>
          <w:rtl w:val="true"/>
        </w:rPr>
        <w:t>סֹחֵרָה</w:t>
      </w:r>
      <w:r>
        <w:rPr/>
        <w:t xml:space="preserve"> </w:t>
      </w:r>
      <w:r>
        <w:rPr/>
        <w:t>as a small round shield; it defines it only as a buckler and does not specify its size or shape. An earlier version of this study called it “a smaller round buckler,” which goes beyond what the lexicon actually says. The load-bearing point does not depend on it: what does the shielding, the psalm says, is God’s own truth or faithfulness.</w:t>
      </w:r>
    </w:p>
    <w:p>
      <w:pPr>
        <w:pStyle w:val="BodyText"/>
        <w:rPr/>
      </w:pPr>
      <w:r>
        <w:rPr>
          <w:b/>
          <w:bCs/>
        </w:rPr>
        <w:t>Habakkuk 2:4</w:t>
      </w:r>
      <w:r>
        <w:rPr/>
        <w:t xml:space="preserve"> — “the just shall live by his faith.”</w:t>
      </w:r>
    </w:p>
    <w:p>
      <w:pPr>
        <w:pStyle w:val="BlockText"/>
        <w:rPr/>
      </w:pPr>
      <w:r>
        <w:rPr>
          <w:b/>
          <w:bCs/>
        </w:rPr>
        <w:t>Habakkuk 2:4 (NKJV):</w:t>
      </w:r>
      <w:r>
        <w:rPr/>
        <w:t xml:space="preserve"> “Behold the proud, His soul is not upright in him; But the just shall live by his faith.”</w:t>
      </w:r>
    </w:p>
    <w:p>
      <w:pPr>
        <w:pStyle w:val="BlockText"/>
        <w:rPr/>
      </w:pPr>
      <w:r>
        <w:rPr>
          <w:b/>
          <w:bCs/>
        </w:rPr>
        <w:t>Summary:</w:t>
      </w:r>
      <w:r>
        <w:rPr/>
        <w:t xml:space="preserve"> Habakkuk’s short line becomes one of the Bible’s most load-bearing faith-texts, quoted three separate times in the New Testament, each time with πίστις.</w:t>
      </w:r>
    </w:p>
    <w:p>
      <w:pPr>
        <w:pStyle w:val="FirstParagraph"/>
        <w:rPr/>
      </w:pPr>
      <w:r>
        <w:rPr/>
        <w:t xml:space="preserve">The Hebrew is </w:t>
      </w:r>
      <w:r>
        <w:rPr>
          <w:rtl w:val="true"/>
        </w:rPr>
        <w:t>אֱמוּנָה</w:t>
      </w:r>
      <w:r>
        <w:rPr/>
        <w:t>, which BDB defines as “firmness, steadfastness, fidelity,” covering literal firmness (Exodus 17:12), figurative steadfastness (Isaiah 33:6), and moral fidelity applied both to human conduct and to God’s own character.</w:t>
      </w:r>
      <w:r>
        <w:rPr>
          <w:rStyle w:val="FootnoteReference"/>
        </w:rPr>
        <w:footnoteReference w:id="38"/>
      </w:r>
      <w:r>
        <w:rPr/>
        <w:t xml:space="preserve"> This one Old Testament line is quoted three separate times in the New Testament (Romans 1:17; Galatians 3:11; Hebrews 10:38), each time with πίστις, making it one of the most load-bearing faith-texts in the entire Bible.</w:t>
      </w:r>
    </w:p>
    <w:p>
      <w:pPr>
        <w:pStyle w:val="BlockText"/>
        <w:rPr/>
      </w:pPr>
      <w:r>
        <w:rPr>
          <w:b/>
          <w:bCs/>
        </w:rPr>
        <w:t>Romans 1:17 (NKJV):</w:t>
      </w:r>
      <w:r>
        <w:rPr/>
        <w:t xml:space="preserve"> “For in it the righteousness of God is revealed from faith to faith; as it is written, ‘The just shall live by faith.’”</w:t>
      </w:r>
    </w:p>
    <w:p>
      <w:pPr>
        <w:pStyle w:val="BlockText"/>
        <w:rPr/>
      </w:pPr>
      <w:r>
        <w:rPr>
          <w:b/>
          <w:bCs/>
        </w:rPr>
        <w:t>Summary:</w:t>
      </w:r>
      <w:r>
        <w:rPr/>
        <w:t xml:space="preserve"> Paul quotes Habakkuk’s line to anchor the gospel’s own righteousness in faith from start to finish — the first of three New Testament citations of this one Old Testament sentence.</w:t>
      </w:r>
    </w:p>
    <w:p>
      <w:pPr>
        <w:pStyle w:val="BlockText"/>
        <w:rPr/>
      </w:pPr>
      <w:r>
        <w:rPr>
          <w:b/>
          <w:bCs/>
        </w:rPr>
        <w:t>Galatians 3:11 (NKJV):</w:t>
      </w:r>
      <w:r>
        <w:rPr/>
        <w:t xml:space="preserve"> “But that no one is justified by the law in the sight of God is evident, for ‘the just shall live by faith.’”</w:t>
      </w:r>
    </w:p>
    <w:p>
      <w:pPr>
        <w:pStyle w:val="BlockText"/>
        <w:rPr/>
      </w:pPr>
      <w:r>
        <w:rPr>
          <w:b/>
          <w:bCs/>
        </w:rPr>
        <w:t>Summary:</w:t>
      </w:r>
      <w:r>
        <w:rPr/>
        <w:t xml:space="preserve"> Paul quotes the same line again to prove that justification has always come by faith rather than law-keeping, even under the Old Covenant.</w:t>
      </w:r>
    </w:p>
    <w:p>
      <w:pPr>
        <w:pStyle w:val="BlockText"/>
        <w:rPr/>
      </w:pPr>
      <w:r>
        <w:rPr>
          <w:b/>
          <w:bCs/>
        </w:rPr>
        <w:t>Hebrews 10:38 (NKJV):</w:t>
      </w:r>
      <w:r>
        <w:rPr/>
        <w:t xml:space="preserve"> “Now the just shall live by faith; but if anyone draws back, My soul has no pleasure in him.”</w:t>
      </w:r>
    </w:p>
    <w:p>
      <w:pPr>
        <w:pStyle w:val="BlockText"/>
        <w:rPr/>
      </w:pPr>
      <w:r>
        <w:rPr>
          <w:b/>
          <w:bCs/>
        </w:rPr>
        <w:t>Summary:</w:t>
      </w:r>
      <w:r>
        <w:rPr/>
        <w:t xml:space="preserve"> Hebrews quotes the same line a third time, adding a warning: the life of faith it describes is a life that does not draw back, not a single moment’s decision.</w:t>
      </w:r>
    </w:p>
    <w:p>
      <w:pPr>
        <w:pStyle w:val="FirstParagraph"/>
        <w:rPr/>
      </w:pPr>
      <w:r>
        <w:rPr/>
        <w:t>The Hebrew word’s double reference — to steadfast reliability and to trusting dependence — is itself the point this study made in section 1.2: our faith answers God’s faithfulness.</w:t>
      </w:r>
    </w:p>
    <w:p>
      <w:pPr>
        <w:pStyle w:val="BodyText"/>
        <w:rPr/>
      </w:pPr>
      <w:r>
        <w:rPr>
          <w:b/>
          <w:bCs/>
        </w:rPr>
        <w:t>Hebrews 11</w:t>
      </w:r>
      <w:r>
        <w:rPr/>
        <w:t>, the “hall of faith,” closes its long list of examples with believers who “quenched the violence of fire, escaped the edge of the sword, out of weakness were made strong” (Hebrews 11:34).</w:t>
      </w:r>
    </w:p>
    <w:p>
      <w:pPr>
        <w:pStyle w:val="BlockText"/>
        <w:rPr/>
      </w:pPr>
      <w:r>
        <w:rPr>
          <w:b/>
          <w:bCs/>
        </w:rPr>
        <w:t>Hebrews 11:34 (NKJV):</w:t>
      </w:r>
      <w:r>
        <w:rPr/>
        <w:t xml:space="preserve"> “quenched the violence of fire, escaped the edge of the sword, out of weakness were made strong, became valiant in battle, turned to flight the armies of the aliens.”</w:t>
      </w:r>
    </w:p>
    <w:p>
      <w:pPr>
        <w:pStyle w:val="BlockText"/>
        <w:rPr/>
      </w:pPr>
      <w:r>
        <w:rPr>
          <w:b/>
          <w:bCs/>
        </w:rPr>
        <w:t>Summary:</w:t>
      </w:r>
      <w:r>
        <w:rPr/>
        <w:t xml:space="preserve"> Hebrews 11 closes its gallery of faith with believers who literally quenched fire — the same verb Ephesians 6:16 uses for the shield of faith extinguishing the enemy’s burning darts.</w:t>
      </w:r>
    </w:p>
    <w:p>
      <w:pPr>
        <w:pStyle w:val="FirstParagraph"/>
        <w:rPr/>
      </w:pPr>
      <w:r>
        <w:rPr/>
        <w:t>The verb behind “quenched” is σβέννυμι — the very verb of Ephesians 6:16, as Abbott-Smith’s entry records by listing both passages together (section 1.5). Hebrews 11 is therefore a gallery of the shield of faith in action, and is useful for a class or a personal devotional working through this theme.</w:t>
      </w:r>
    </w:p>
    <w:p>
      <w:pPr>
        <w:pStyle w:val="BodyText"/>
        <w:rPr/>
      </w:pPr>
      <w:r>
        <w:rPr>
          <w:b/>
          <w:bCs/>
        </w:rPr>
        <w:t>1 John 5:4-5</w:t>
      </w:r>
      <w:r>
        <w:rPr/>
        <w:t xml:space="preserve"> — “For whatever is born of God overcomes the world. And this is the victory that has overcome the world — our faith. Who is he who overcomes the world, but he who believes that Jesus is the Son of God?”</w:t>
      </w:r>
    </w:p>
    <w:p>
      <w:pPr>
        <w:pStyle w:val="BlockText"/>
        <w:rPr/>
      </w:pPr>
      <w:r>
        <w:rPr>
          <w:b/>
          <w:bCs/>
        </w:rPr>
        <w:t>1 John 5:4-5 (NKJV):</w:t>
      </w:r>
      <w:r>
        <w:rPr/>
        <w:t xml:space="preserve"> “For whatever is born of God overcomes the world. And this is the victory that has overcome the world — our faith. Who is he who overcomes the world, but he who believes that Jesus is the Son of God?”</w:t>
      </w:r>
    </w:p>
    <w:p>
      <w:pPr>
        <w:pStyle w:val="BlockText"/>
        <w:rPr/>
      </w:pPr>
      <w:r>
        <w:rPr>
          <w:b/>
          <w:bCs/>
        </w:rPr>
        <w:t>Summary:</w:t>
      </w:r>
      <w:r>
        <w:rPr/>
        <w:t xml:space="preserve"> John identifies faith itself as the victory, not merely the tool that produces one, while keeping the object firmly in view — the faith in question is specifically believing that Jesus is the Son of God.</w:t>
      </w:r>
    </w:p>
    <w:p>
      <w:pPr>
        <w:pStyle w:val="FirstParagraph"/>
        <w:rPr/>
      </w:pPr>
      <w:r>
        <w:rPr/>
        <w:t>The Greek noun for “victory” is νίκη, which Abbott-Smith defines simply as “victory,” noting that in the New Testament it occurs only here.</w:t>
      </w:r>
      <w:r>
        <w:rPr>
          <w:rStyle w:val="FootnoteReference"/>
        </w:rPr>
        <w:footnoteReference w:id="39"/>
      </w:r>
      <w:r>
        <w:rPr/>
        <w:t xml:space="preserve"> John identifies that victory directly with πίστις itself. Faith is not merely a tool that produces victory elsewhere; John states plainly that faith already </w:t>
      </w:r>
      <w:r>
        <w:rPr>
          <w:i/>
          <w:iCs/>
        </w:rPr>
        <w:t>is</w:t>
      </w:r>
      <w:r>
        <w:rPr/>
        <w:t xml:space="preserve"> the victory. The final clause keeps the object in view: the faith in question is believing “that Jesus is the Son of God,” not believing in general.</w:t>
      </w:r>
    </w:p>
    <w:p>
      <w:pPr>
        <w:pStyle w:val="Normal"/>
        <w:rPr/>
      </w:pPr>
      <w:bookmarkStart w:id="92" w:name="Xa5348edf0a851caffc98da34cde7f9680571e07"/>
      <w:r>
        <w:rPr/>
        <mc:AlternateContent>
          <mc:Choice Requires="wps">
            <w:drawing>
              <wp:inline distT="0" distB="0" distL="0" distR="0">
                <wp:extent cx="5943600" cy="19050"/>
                <wp:effectExtent l="0" t="0" r="0" b="0"/>
                <wp:docPr id="17" name=""/>
                <a:graphic xmlns:a="http://schemas.openxmlformats.org/drawingml/2006/main">
                  <a:graphicData uri="http://schemas.microsoft.com/office/word/2010/wordprocessingShape">
                    <wps:wsp>
                      <wps:cNvSpPr/>
                      <wps:nvSpPr>
                        <wps:cNvPr id="18" name=""/>
                        <wps:cNvSpPr/>
                      </wps:nvSpPr>
                      <wps:spPr>
                        <a:xfrm>
                          <a:off x="0" y="0"/>
                          <a:ext cx="5943600" cy="19080"/>
                        </a:xfrm>
                        <a:prstGeom prst="rect">
                          <a:avLst/>
                        </a:prstGeom>
                        <a:solidFill>
                          <a:srgbClr val="ffffff"/>
                        </a:solidFill>
                        <a:ln w="0">
                          <a:solidFill>
                            <a:srgbClr val="000000"/>
                          </a:solidFill>
                        </a:ln>
                      </wps:spPr>
                      <wps:bodyPr/>
                    </wps:wsp>
                  </a:graphicData>
                </a:graphic>
                <wp14:sizeRelH relativeFrom="page">
                  <wp14:pctWidth>100000</wp14:pctWidth>
                </wp14:sizeRelH>
              </wp:inline>
            </w:drawing>
          </mc:Choice>
          <mc:Fallback>
            <w:pict>
              <v:rect id="shape_0" fillcolor="white" stroked="t" o:allowincell="f" style="position:absolute;margin-left:0pt;margin-top:-1.55pt;width:467.95pt;height:1.45pt;mso-wrap-style:none;v-text-anchor:middle;mso-position-horizontal:center;mso-position-vertical:top">
                <v:fill o:detectmouseclick="t" type="solid" color2="black"/>
                <v:stroke color="black" joinstyle="round" endcap="flat"/>
                <w10:wrap type="topAndBottom"/>
              </v:rect>
            </w:pict>
          </mc:Fallback>
        </mc:AlternateContent>
      </w:r>
      <w:bookmarkEnd w:id="92"/>
    </w:p>
    <w:p>
      <w:pPr>
        <w:pStyle w:val="Heading1"/>
        <w:rPr/>
      </w:pPr>
      <w:bookmarkStart w:id="93" w:name="__RefHeading___Toc2667_2115258294"/>
      <w:bookmarkStart w:id="94" w:name="X764ce4fdd2c7a1f546be198cf7b9a36a5c1ab0d"/>
      <w:bookmarkEnd w:id="93"/>
      <w:r>
        <w:rPr/>
        <w:t>Part Seven: Additional Questions Worth Raising in This Discussion</w:t>
      </w:r>
    </w:p>
    <w:p>
      <w:pPr>
        <w:pStyle w:val="FirstParagraph"/>
        <w:rPr/>
      </w:pPr>
      <w:r>
        <w:rPr/>
        <w:t>The following questions do not have a single settled answer in this study but are worth leadership deliberately raising, since a congregation’s unspoken assumptions on these points shape how well the shield of faith actually functions in practice.</w:t>
      </w:r>
    </w:p>
    <w:p>
      <w:pPr>
        <w:pStyle w:val="BodyText"/>
        <w:rPr/>
      </w:pPr>
      <w:r>
        <w:rPr>
          <w:b/>
          <w:bCs/>
        </w:rPr>
        <w:t>Is faith a gift, a choice, or both?</w:t>
      </w:r>
      <w:r>
        <w:rPr/>
        <w:t xml:space="preserve"> Ephesians 2:8-9 calls saving faith God’s gift; Romans 12:3 says a measure is already given to every believer; yet 2 Peter 1:5 commands believers to actively “add to” their faith, and Luke 17:5 has the disciples actively asking for more. Leadership should be prepared to teach this as a genuine both/and rather than forcing a false choice: faith originates as gift and grows through active, commanded human response to that gift.</w:t>
      </w:r>
    </w:p>
    <w:p>
      <w:pPr>
        <w:pStyle w:val="BodyText"/>
        <w:rPr/>
      </w:pPr>
      <w:r>
        <w:rPr>
          <w:b/>
          <w:bCs/>
        </w:rPr>
        <w:t>How does the faith of the whole church function as a shield for the whole body, not merely for individuals?</w:t>
      </w:r>
      <w:r>
        <w:rPr/>
        <w:t xml:space="preserve"> Given that Ephesians 6’s commands are second person plural throughout (section 4.4), what would it concretely look like for this congregation’s corporate life — its testimonies, its prayer meetings, its care for the discouraged — to function as a genuine shield wall rather than a room of individuals each managing a private defense?</w:t>
      </w:r>
    </w:p>
    <w:p>
      <w:pPr>
        <w:pStyle w:val="BodyText"/>
        <w:rPr/>
      </w:pPr>
      <w:r>
        <w:rPr>
          <w:b/>
          <w:bCs/>
        </w:rPr>
        <w:t>What is the relationship between faith and assurance of salvation?</w:t>
      </w:r>
      <w:r>
        <w:rPr/>
        <w:t xml:space="preserve"> Does a believer whose shield feels weak or whose faith feels shaken have reason to doubt their standing before God, or is Mark 9:24’s “help my unbelief” itself the normal Christian experience of a genuine but maturing faith?</w:t>
      </w:r>
    </w:p>
    <w:p>
      <w:pPr>
        <w:pStyle w:val="BodyText"/>
        <w:rPr/>
      </w:pPr>
      <w:r>
        <w:rPr/>
        <w:t>Leadership should have a clear, pastorally careful answer ready, since this question surfaces constantly in real spiritual crisis.</w:t>
      </w:r>
    </w:p>
    <w:p>
      <w:pPr>
        <w:pStyle w:val="BodyText"/>
        <w:rPr/>
      </w:pPr>
      <w:r>
        <w:rPr>
          <w:b/>
          <w:bCs/>
        </w:rPr>
        <w:t>How does biblical faith differ from both secular “faith” and prosperity “faith”?</w:t>
      </w:r>
      <w:r>
        <w:rPr/>
        <w:t xml:space="preserve"> Popular culture often treats faith as a leap taken without or against evidence; prosperity teaching treats it as a force that manipulates outcomes (section 4.2). Both differ sharply from Hebrews 11:1’s actual definition — reasoned trust, grounded in the reliability of God’s own past record and spoken word. Are these three definitions being kept clearly distinct in the church’s actual preaching and informal conversation, or have they quietly blurred together?</w:t>
      </w:r>
    </w:p>
    <w:p>
      <w:pPr>
        <w:pStyle w:val="BodyText"/>
        <w:rPr/>
      </w:pPr>
      <w:r>
        <w:rPr>
          <w:b/>
          <w:bCs/>
        </w:rPr>
        <w:t>Is doubt automatically sin, or can genuine faith and real doubt coexist?</w:t>
      </w:r>
      <w:r>
        <w:rPr/>
        <w:t xml:space="preserve"> Given Mark 9:24 and the disciples’ own request for more faith, how should leadership pastorally respond to a believer who reports doubt — with correction, or with the same compassion Jesus showed the father in that passage?</w:t>
      </w:r>
    </w:p>
    <w:p>
      <w:pPr>
        <w:pStyle w:val="BodyText"/>
        <w:rPr/>
      </w:pPr>
      <w:r>
        <w:rPr>
          <w:b/>
          <w:bCs/>
        </w:rPr>
        <w:t>Does the church’s public worship actually build shields, or inadvertently thin them?</w:t>
      </w:r>
      <w:r>
        <w:rPr/>
        <w:t xml:space="preserve"> Given that faith is fed by a specific message with definite content (section 2.1) and by active corporate remembrance (section 2.5), does this congregation’s current diet of preaching, singing, and public prayer actually rehearse God’s specific faithfulness in concrete terms, or does it trade mostly in general sentiment that leaves the shield thin regardless of how sincerely it is received?</w:t>
      </w:r>
    </w:p>
    <w:p>
      <w:pPr>
        <w:pStyle w:val="BodyText"/>
        <w:rPr/>
      </w:pPr>
      <w:r>
        <w:rPr>
          <w:b/>
          <w:bCs/>
        </w:rPr>
        <w:t>Where has this congregation been taught something in good faith that fuller study does not support?</w:t>
      </w:r>
      <w:r>
        <w:rPr/>
        <w:t xml:space="preserve"> This revision corrects two claims that circulated in earlier drafts of this series (the ῥῆμα/λόγος contrast in section 2.1, and the description of the μάχαιρα in section 5.3). Leadership should decide in advance how it will handle such corrections publicly — because how a church corrects itself teaches the congregation more about the authority of Scripture than any single lesson does.</w:t>
      </w:r>
    </w:p>
    <w:p>
      <w:pPr>
        <w:pStyle w:val="Normal"/>
        <w:rPr/>
      </w:pPr>
      <w:bookmarkStart w:id="95" w:name="X764ce4fdd2c7a1f546be198cf7b9a36a5c1ab0d"/>
      <w:r>
        <w:rPr/>
        <mc:AlternateContent>
          <mc:Choice Requires="wps">
            <w:drawing>
              <wp:inline distT="0" distB="0" distL="0" distR="0">
                <wp:extent cx="5943600" cy="19050"/>
                <wp:effectExtent l="0" t="0" r="0" b="0"/>
                <wp:docPr id="19" name=""/>
                <a:graphic xmlns:a="http://schemas.openxmlformats.org/drawingml/2006/main">
                  <a:graphicData uri="http://schemas.microsoft.com/office/word/2010/wordprocessingShape">
                    <wps:wsp>
                      <wps:cNvSpPr/>
                      <wps:nvSpPr>
                        <wps:cNvPr id="20" name=""/>
                        <wps:cNvSpPr/>
                      </wps:nvSpPr>
                      <wps:spPr>
                        <a:xfrm>
                          <a:off x="0" y="0"/>
                          <a:ext cx="5943600" cy="19080"/>
                        </a:xfrm>
                        <a:prstGeom prst="rect">
                          <a:avLst/>
                        </a:prstGeom>
                        <a:solidFill>
                          <a:srgbClr val="ffffff"/>
                        </a:solidFill>
                        <a:ln w="0">
                          <a:solidFill>
                            <a:srgbClr val="000000"/>
                          </a:solidFill>
                        </a:ln>
                      </wps:spPr>
                      <wps:bodyPr/>
                    </wps:wsp>
                  </a:graphicData>
                </a:graphic>
                <wp14:sizeRelH relativeFrom="page">
                  <wp14:pctWidth>100000</wp14:pctWidth>
                </wp14:sizeRelH>
              </wp:inline>
            </w:drawing>
          </mc:Choice>
          <mc:Fallback>
            <w:pict>
              <v:rect id="shape_0" fillcolor="white" stroked="t" o:allowincell="f" style="position:absolute;margin-left:0pt;margin-top:-1.55pt;width:467.95pt;height:1.45pt;mso-wrap-style:none;v-text-anchor:middle;mso-position-horizontal:center;mso-position-vertical:top">
                <v:fill o:detectmouseclick="t" type="solid" color2="black"/>
                <v:stroke color="black" joinstyle="round" endcap="flat"/>
                <w10:wrap type="topAndBottom"/>
              </v:rect>
            </w:pict>
          </mc:Fallback>
        </mc:AlternateContent>
      </w:r>
      <w:bookmarkEnd w:id="95"/>
    </w:p>
    <w:p>
      <w:pPr>
        <w:pStyle w:val="Heading1"/>
        <w:rPr/>
      </w:pPr>
      <w:bookmarkStart w:id="96" w:name="__RefHeading___Toc2669_2115258294"/>
      <w:bookmarkStart w:id="97" w:name="summary-of-key-ideas-and-concepts"/>
      <w:bookmarkEnd w:id="96"/>
      <w:r>
        <w:rPr/>
        <w:t>Summary of Key Ideas and Concepts</w:t>
      </w:r>
    </w:p>
    <w:p>
      <w:pPr>
        <w:pStyle w:val="FirstParagraph"/>
        <w:rPr/>
      </w:pPr>
      <w:r>
        <w:rPr>
          <w:b/>
          <w:bCs/>
        </w:rPr>
        <w:t>What faith is:</w:t>
      </w:r>
      <w:r>
        <w:rPr/>
        <w:t xml:space="preserve"> Hebrews 11:1 defines faith with two nouns — ὑπόστασις, the actual standing-ground under something, and ἔλεγχος, settled proof — neither of which describes a feeling or a technique. Hebrews 11:6 supplies its content: that God is, and that He rewards those who seek Him. πίστις denotes trust and reliance that corresponds to God’s own faithfulness, with an implication that action follows. Saving faith and battle-faith are the same gift, given in some measure to every believer (Romans 12:3) and meant to grow (2 Peter 1:5). What matters most is not the size of a believer’s faith but the trustworthiness of its object (Matthew 17:20; Luke 17:6). The shield itself, θυρεός, is the large door-shaped Roman </w:t>
      </w:r>
      <w:r>
        <w:rPr>
          <w:i/>
          <w:iCs/>
        </w:rPr>
        <w:t>scutum</w:t>
      </w:r>
      <w:r>
        <w:rPr/>
        <w:t>, not the small round ἀσπίς, and the promise attached to it is extinction of the burning arrows, not mere deflection.</w:t>
      </w:r>
    </w:p>
    <w:p>
      <w:pPr>
        <w:pStyle w:val="BodyText"/>
        <w:rPr/>
      </w:pPr>
      <w:r>
        <w:rPr>
          <w:b/>
          <w:bCs/>
        </w:rPr>
        <w:t>How faith is strengthened:</w:t>
      </w:r>
      <w:r>
        <w:rPr/>
        <w:t xml:space="preserve"> by hearing a specific, announced message with definite content — the argument of Romans 10:14-17, not a lexical contrast between ῥῆμα and λόγος; by being tested under real trial, which proves what is genuine (James 1:2-3; 1 Peter 1:6-7); by prayer, including the honest prayer of incomplete faith (Luke 17:5; Mark 9:24); by deliberate remembrance of God’s past faithfulness (Psalm 77:11); and corporately, in community (Hebrews 10:23-25).</w:t>
      </w:r>
    </w:p>
    <w:p>
      <w:pPr>
        <w:pStyle w:val="BodyText"/>
        <w:rPr/>
      </w:pPr>
      <w:r>
        <w:rPr>
          <w:b/>
          <w:bCs/>
        </w:rPr>
        <w:t>Its relationship to putting on Christ:</w:t>
      </w:r>
      <w:r>
        <w:rPr/>
        <w:t xml:space="preserve"> faith is never free-floating confidence; it is always faith in Christ specifically, and it is the very means by which a believer is joined to Christ in the first place (Galatians 3:26-27) and continues to walk in Him (Romans 13:14). The armor itself is God’s own, drawn from Isaiah 59:17 and shared with His people. Growing in faith and growing in specific, personal knowledge of Christ are the same project.</w:t>
      </w:r>
    </w:p>
    <w:p>
      <w:pPr>
        <w:pStyle w:val="BodyText"/>
        <w:rPr/>
      </w:pPr>
      <w:r>
        <w:rPr>
          <w:b/>
          <w:bCs/>
        </w:rPr>
        <w:t>Why believers misuse or neglect it:</w:t>
      </w:r>
      <w:r>
        <w:rPr/>
        <w:t xml:space="preserve"> faith gets confused with emotion; redefined as a manipulative force (prosperity teaching); treated as automatically self-sustaining rather than actively “taken up” (ἀναλάβετε, a plural imperative); individualized against its own plural, corporate grammar; starved by biblical illiteracy; or simply never exercised because a therapeutic framework never named the battle to begin with.</w:t>
      </w:r>
    </w:p>
    <w:p>
      <w:pPr>
        <w:pStyle w:val="BodyText"/>
        <w:rPr/>
      </w:pPr>
      <w:r>
        <w:rPr>
          <w:b/>
          <w:bCs/>
        </w:rPr>
        <w:t>How to help a believer use it personally:</w:t>
      </w:r>
      <w:r>
        <w:rPr/>
        <w:t xml:space="preserve"> build the shield before the attack through ordinary spiritual disciplines; learn to name the specific lie an attack is carrying; answer it with a specific, prepared truth; keep a written record of God’s past faithfulness; practice trust in small daily moments; and do not fight in isolation.</w:t>
      </w:r>
    </w:p>
    <w:p>
      <w:pPr>
        <w:pStyle w:val="BodyText"/>
        <w:rPr/>
      </w:pPr>
      <w:r>
        <w:rPr>
          <w:b/>
          <w:bCs/>
        </w:rPr>
        <w:t>Its scriptural parallels:</w:t>
      </w:r>
      <w:r>
        <w:rPr/>
        <w:t xml:space="preserve"> Genesis 15:1; Psalm 3:3; Psalm 18:2, 30, 35; 2 Samuel 22:31; Proverbs 30:5; Psalm 91:4; Habakkuk 2:4 (quoted three times in the New Testament); Hebrews 11:34, which uses the same verb Ephesians 6:16 uses for quenching; and 1 John 5:4-5, which identifies faith itself as the victory rather than merely the means to it.</w:t>
      </w:r>
    </w:p>
    <w:p>
      <w:pPr>
        <w:pStyle w:val="BodyText"/>
        <w:rPr/>
      </w:pPr>
      <w:r>
        <w:rPr>
          <w:b/>
          <w:bCs/>
        </w:rPr>
        <w:t>Corrections carried in this revision:</w:t>
      </w:r>
      <w:r>
        <w:rPr/>
        <w:t xml:space="preserve"> the popular ῥῆμα/λόγος contrast is not lexically supported and Paul’s own usage in Ephesians 5:26 and 6:19 runs against it; the μάχαιρα is a cutting sword, not a stabbing one; </w:t>
      </w:r>
      <w:r>
        <w:rPr>
          <w:rtl w:val="true"/>
        </w:rPr>
        <w:t>סֹחֵרָה</w:t>
      </w:r>
      <w:r>
        <w:rPr/>
        <w:t xml:space="preserve"> </w:t>
      </w:r>
      <w:r>
        <w:rPr/>
        <w:t>is defined by BDB simply as “buckler,” without the size or shape earlier drafts assigned it; and the well-known line about “the laxity of falsehood” is Albert Barnes quoting Grotius at Ephesians 6:14, not Barnes speaking on 6:16.</w:t>
      </w:r>
      <w:r>
        <w:rPr>
          <w:rStyle w:val="FootnoteReference"/>
        </w:rPr>
        <w:footnoteReference w:id="40"/>
      </w:r>
    </w:p>
    <w:p>
      <w:pPr>
        <w:pStyle w:val="Normal"/>
        <w:rPr/>
      </w:pPr>
      <w:bookmarkStart w:id="98" w:name="summary-of-key-ideas-and-concepts"/>
      <w:r>
        <w:rPr/>
        <mc:AlternateContent>
          <mc:Choice Requires="wps">
            <w:drawing>
              <wp:inline distT="0" distB="0" distL="0" distR="0">
                <wp:extent cx="5943600" cy="19050"/>
                <wp:effectExtent l="0" t="0" r="0" b="0"/>
                <wp:docPr id="21" name=""/>
                <a:graphic xmlns:a="http://schemas.openxmlformats.org/drawingml/2006/main">
                  <a:graphicData uri="http://schemas.microsoft.com/office/word/2010/wordprocessingShape">
                    <wps:wsp>
                      <wps:cNvSpPr/>
                      <wps:nvSpPr>
                        <wps:cNvPr id="22" name=""/>
                        <wps:cNvSpPr/>
                      </wps:nvSpPr>
                      <wps:spPr>
                        <a:xfrm>
                          <a:off x="0" y="0"/>
                          <a:ext cx="5943600" cy="19080"/>
                        </a:xfrm>
                        <a:prstGeom prst="rect">
                          <a:avLst/>
                        </a:prstGeom>
                        <a:solidFill>
                          <a:srgbClr val="ffffff"/>
                        </a:solidFill>
                        <a:ln w="0">
                          <a:solidFill>
                            <a:srgbClr val="000000"/>
                          </a:solidFill>
                        </a:ln>
                      </wps:spPr>
                      <wps:bodyPr/>
                    </wps:wsp>
                  </a:graphicData>
                </a:graphic>
                <wp14:sizeRelH relativeFrom="page">
                  <wp14:pctWidth>100000</wp14:pctWidth>
                </wp14:sizeRelH>
              </wp:inline>
            </w:drawing>
          </mc:Choice>
          <mc:Fallback>
            <w:pict>
              <v:rect id="shape_0" fillcolor="white" stroked="t" o:allowincell="f" style="position:absolute;margin-left:0pt;margin-top:-1.55pt;width:467.95pt;height:1.45pt;mso-wrap-style:none;v-text-anchor:middle;mso-position-horizontal:center;mso-position-vertical:top">
                <v:fill o:detectmouseclick="t" type="solid" color2="black"/>
                <v:stroke color="black" joinstyle="round" endcap="flat"/>
                <w10:wrap type="topAndBottom"/>
              </v:rect>
            </w:pict>
          </mc:Fallback>
        </mc:AlternateContent>
      </w:r>
      <w:bookmarkEnd w:id="98"/>
    </w:p>
    <w:p>
      <w:pPr>
        <w:pStyle w:val="Heading1"/>
        <w:rPr/>
      </w:pPr>
      <w:bookmarkStart w:id="99" w:name="__RefHeading___Toc2671_2115258294"/>
      <w:bookmarkStart w:id="100" w:name="sources-consulted"/>
      <w:bookmarkEnd w:id="99"/>
      <w:r>
        <w:rPr/>
        <w:t>Sources Consulted</w:t>
      </w:r>
    </w:p>
    <w:p>
      <w:pPr>
        <w:pStyle w:val="Heading2"/>
        <w:rPr/>
      </w:pPr>
      <w:bookmarkStart w:id="101" w:name="__RefHeading___Toc2673_2115258294"/>
      <w:bookmarkStart w:id="102" w:name="Xdd2b218012a132134e2ab7374088f4c0be2575d"/>
      <w:bookmarkEnd w:id="101"/>
      <w:r>
        <w:rPr/>
        <w:t>Directly Retrieved and Verified This Session</w:t>
      </w:r>
    </w:p>
    <w:p>
      <w:pPr>
        <w:pStyle w:val="FirstParagraph"/>
        <w:rPr/>
      </w:pPr>
      <w:r>
        <w:rPr/>
        <w:t xml:space="preserve">Abbott-Smith’s </w:t>
      </w:r>
      <w:r>
        <w:rPr>
          <w:i/>
          <w:iCs/>
        </w:rPr>
        <w:t>Manual Greek Lexicon of the New Testament</w:t>
      </w:r>
      <w:r>
        <w:rPr/>
        <w:t>, entries for πίστις, ῥῆμα, λόγος, θυρεός, σβέννυμι, δοκίμιον, μάχαιρα, and νίκη, consulted in the digital edition hosted at studylight.org.</w:t>
      </w:r>
    </w:p>
    <w:p>
      <w:pPr>
        <w:pStyle w:val="BodyText"/>
        <w:rPr/>
      </w:pPr>
      <w:r>
        <w:rPr>
          <w:i/>
          <w:iCs/>
        </w:rPr>
        <w:t>A Greek-English Lexicon</w:t>
      </w:r>
      <w:r>
        <w:rPr/>
        <w:t xml:space="preserve"> (Liddell, Scott, and Jones), entries for θυρεός, σβέννυμι, λόγος, μάχαιρα, and νίκη, consulted in the digital editions hosted at lsj.gr and studylight.org.</w:t>
      </w:r>
    </w:p>
    <w:p>
      <w:pPr>
        <w:pStyle w:val="BodyText"/>
        <w:rPr/>
      </w:pPr>
      <w:r>
        <w:rPr>
          <w:i/>
          <w:iCs/>
        </w:rPr>
        <w:t>Mounce’s Complete Expository Dictionary of Old and New Testament Words</w:t>
      </w:r>
      <w:r>
        <w:rPr/>
        <w:t xml:space="preserve"> / </w:t>
      </w:r>
      <w:r>
        <w:rPr>
          <w:i/>
          <w:iCs/>
        </w:rPr>
        <w:t>Mounce Concise Greek-English Dictionary</w:t>
      </w:r>
      <w:r>
        <w:rPr/>
        <w:t>, entries for πίστις (GK 4411), ὑπόστασις (GK 5712), ῥῆμα (GK 4839), and λόγος (GK 3364), consulted in the digital edition at billmounce.com.</w:t>
      </w:r>
    </w:p>
    <w:p>
      <w:pPr>
        <w:pStyle w:val="BodyText"/>
        <w:rPr/>
      </w:pPr>
      <w:r>
        <w:rPr/>
        <w:t xml:space="preserve">Joseph Henry Thayer, </w:t>
      </w:r>
      <w:r>
        <w:rPr>
          <w:i/>
          <w:iCs/>
        </w:rPr>
        <w:t>A Greek-English Lexicon of the New Testament</w:t>
      </w:r>
      <w:r>
        <w:rPr/>
        <w:t>, entries for ὑπόστασις and ἔλεγχος, consulted in the digital edition at biblehub.com. Thayer’s lexicon dates from the late nineteenth century and predates the papyri discoveries that reshaped New Testament lexicography; it is used here only where a more recent freely available lexicon does not cover the term.</w:t>
      </w:r>
    </w:p>
    <w:p>
      <w:pPr>
        <w:pStyle w:val="BodyText"/>
        <w:rPr/>
      </w:pPr>
      <w:r>
        <w:rPr/>
        <w:t xml:space="preserve">Francis Brown, S. R. Driver, and Charles A. Briggs, </w:t>
      </w:r>
      <w:r>
        <w:rPr>
          <w:i/>
          <w:iCs/>
        </w:rPr>
        <w:t>A Hebrew and English Lexicon of the Old Testament</w:t>
      </w:r>
      <w:r>
        <w:rPr/>
        <w:t xml:space="preserve">, entries for </w:t>
      </w:r>
      <w:r>
        <w:rPr>
          <w:rtl w:val="true"/>
        </w:rPr>
        <w:t>מָגֵן</w:t>
      </w:r>
      <w:r>
        <w:rPr>
          <w:rtl w:val="true"/>
        </w:rPr>
        <w:t xml:space="preserve">, </w:t>
      </w:r>
      <w:r>
        <w:rPr>
          <w:rtl w:val="true"/>
        </w:rPr>
        <w:t>צִנָּה</w:t>
      </w:r>
      <w:r>
        <w:rPr>
          <w:rtl w:val="true"/>
        </w:rPr>
        <w:t xml:space="preserve">, </w:t>
      </w:r>
      <w:r>
        <w:rPr>
          <w:rtl w:val="true"/>
        </w:rPr>
        <w:t>סֹחֵרָה</w:t>
      </w:r>
      <w:r>
        <w:rPr/>
        <w:t xml:space="preserve">, and </w:t>
      </w:r>
      <w:r>
        <w:rPr>
          <w:rtl w:val="true"/>
        </w:rPr>
        <w:t>אֱמוּנָה</w:t>
      </w:r>
      <w:r>
        <w:rPr/>
        <w:t>, consulted in the digital editions hosted at studylight.org and biblehub.com.</w:t>
      </w:r>
    </w:p>
    <w:p>
      <w:pPr>
        <w:pStyle w:val="BodyText"/>
        <w:rPr/>
      </w:pPr>
      <w:r>
        <w:rPr/>
        <w:t xml:space="preserve">Marvin R. Vincent, </w:t>
      </w:r>
      <w:r>
        <w:rPr>
          <w:i/>
          <w:iCs/>
        </w:rPr>
        <w:t>Word Studies in the New Testament</w:t>
      </w:r>
      <w:r>
        <w:rPr/>
        <w:t>, on Ephesians 6:16, consulted at biblehub.com.</w:t>
      </w:r>
    </w:p>
    <w:p>
      <w:pPr>
        <w:pStyle w:val="BodyText"/>
        <w:rPr/>
      </w:pPr>
      <w:r>
        <w:rPr/>
        <w:t xml:space="preserve">Albert Barnes, </w:t>
      </w:r>
      <w:r>
        <w:rPr>
          <w:i/>
          <w:iCs/>
        </w:rPr>
        <w:t>Notes on the New Testament</w:t>
      </w:r>
      <w:r>
        <w:rPr/>
        <w:t>, on Ephesians 6:14 and 6:16, consulted at biblehub.com.</w:t>
      </w:r>
    </w:p>
    <w:p>
      <w:pPr>
        <w:pStyle w:val="BodyText"/>
        <w:rPr/>
      </w:pPr>
      <w:r>
        <w:rPr/>
        <w:t>Greek text and morphological parsing of Ephesians 6:10, 6:13, 6:16, 6:19 and 5:26, and the Nestle and Byzantine readings of Romans 10:17, consulted in the interlinear and parallel-Greek pages at biblehub.com.</w:t>
      </w:r>
    </w:p>
    <w:p>
      <w:pPr>
        <w:pStyle w:val="BodyText"/>
        <w:rPr/>
      </w:pPr>
      <w:r>
        <w:rPr/>
        <w:t>New King James Version Scripture text for all passages quoted, verified at biblehub.com and biblegateway.com.</w:t>
      </w:r>
    </w:p>
    <w:p>
      <w:pPr>
        <w:pStyle w:val="BodyText"/>
        <w:spacing w:lineRule="auto" w:line="252" w:before="0" w:after="60"/>
        <w:rPr/>
      </w:pPr>
      <w:bookmarkStart w:id="103" w:name="sources-consulted"/>
      <w:bookmarkStart w:id="104" w:name="Xdd2b218012a132134e2ab7374088f4c0be2575d"/>
      <w:r>
        <w:rPr/>
        <w:t>John MacArthur, “Toxic Television: A Biblical Answer to the Prosperity Gospel, Part 1,” sermon transcript, Grace to You (gty.org), retrieved and read in the preparation of the earlier draft of this study, including the statement by Charles Capps as reproduced there.</w:t>
      </w:r>
      <w:bookmarkEnd w:id="103"/>
      <w:bookmarkEnd w:id="104"/>
    </w:p>
    <w:sectPr>
      <w:footnotePr>
        <w:numFmt w:val="decimal"/>
      </w:footnotePr>
      <w:type w:val="nextPage"/>
      <w:pgSz w:w="12240" w:h="15840"/>
      <w:pgMar w:left="1440" w:right="1440" w:gutter="0" w:header="0" w:top="1440" w:footer="0" w:bottom="144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roman"/>
    <w:pitch w:val="variable"/>
  </w:font>
  <w:font w:name="Consolas">
    <w:charset w:val="01"/>
    <w:family w:val="roman"/>
    <w:pitch w:val="variable"/>
  </w:font>
  <w:font w:name="Liberation Sans">
    <w:altName w:val="Arial"/>
    <w:charset w:val="01"/>
    <w:family w:val="swiss"/>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rPr/>
      </w:pPr>
      <w:r>
        <w:rPr>
          <w:rStyle w:val="FootnoteCharacters"/>
        </w:rPr>
        <w:footnoteRef/>
      </w:r>
      <w:r>
        <w:rPr/>
        <w:t xml:space="preserve"> </w:t>
      </w:r>
      <w:r>
        <w:rPr/>
        <w:t>All Scripture quotations are from the New King James Version. Text verified against the NKJV editions hosted at biblehub.com and biblegateway.com.</w:t>
      </w:r>
    </w:p>
  </w:footnote>
  <w:footnote w:id="3">
    <w:p>
      <w:pPr>
        <w:pStyle w:val="FootnoteText"/>
        <w:rPr/>
      </w:pPr>
      <w:r>
        <w:rPr>
          <w:rStyle w:val="FootnoteCharacters"/>
        </w:rPr>
        <w:footnoteRef/>
      </w:r>
      <w:r>
        <w:rPr/>
        <w:t xml:space="preserve"> </w:t>
      </w:r>
      <w:r>
        <w:rPr>
          <w:i/>
          <w:iCs/>
        </w:rPr>
        <w:t>Mounce Concise Greek-English Dictionary</w:t>
      </w:r>
      <w:r>
        <w:rPr/>
        <w:t>, s.v. ὑπόστασις (GK 5712), digital edition, billmounce.com.</w:t>
      </w:r>
    </w:p>
  </w:footnote>
  <w:footnote w:id="4">
    <w:p>
      <w:pPr>
        <w:pStyle w:val="FootnoteText"/>
        <w:rPr/>
      </w:pPr>
      <w:r>
        <w:rPr>
          <w:rStyle w:val="FootnoteCharacters"/>
        </w:rPr>
        <w:footnoteRef/>
      </w:r>
      <w:r>
        <w:rPr/>
        <w:t xml:space="preserve"> </w:t>
      </w:r>
      <w:r>
        <w:rPr/>
        <w:t xml:space="preserve">Joseph Henry Thayer, </w:t>
      </w:r>
      <w:r>
        <w:rPr>
          <w:i/>
          <w:iCs/>
        </w:rPr>
        <w:t>A Greek-English Lexicon of the New Testament</w:t>
      </w:r>
      <w:r>
        <w:rPr/>
        <w:t>, s.v. ὑπόστασις, digital edition at biblehub.com. Thayer’s work dates from 1889 and is cited here because no more recent freely accessible lexicon gives the full range of senses for this term; BDAG would be preferable and was not available for this study.</w:t>
      </w:r>
    </w:p>
  </w:footnote>
  <w:footnote w:id="5">
    <w:p>
      <w:pPr>
        <w:pStyle w:val="FootnoteText"/>
        <w:rPr/>
      </w:pPr>
      <w:r>
        <w:rPr>
          <w:rStyle w:val="FootnoteCharacters"/>
        </w:rPr>
        <w:footnoteRef/>
      </w:r>
      <w:r>
        <w:rPr/>
        <w:t xml:space="preserve"> </w:t>
      </w:r>
      <w:r>
        <w:rPr/>
        <w:t xml:space="preserve">Thayer, </w:t>
      </w:r>
      <w:r>
        <w:rPr>
          <w:i/>
          <w:iCs/>
        </w:rPr>
        <w:t>Greek-English Lexicon</w:t>
      </w:r>
      <w:r>
        <w:rPr/>
        <w:t>, s.v. ἔλεγχος, digital edition at biblehub.com. The same caution about the lexicon’s age applies.</w:t>
      </w:r>
    </w:p>
  </w:footnote>
  <w:footnote w:id="6">
    <w:p>
      <w:pPr>
        <w:pStyle w:val="FootnoteText"/>
        <w:rPr/>
      </w:pPr>
      <w:r>
        <w:rPr>
          <w:rStyle w:val="FootnoteCharacters"/>
        </w:rPr>
        <w:footnoteRef/>
      </w:r>
      <w:r>
        <w:rPr/>
        <w:t xml:space="preserve"> </w:t>
      </w:r>
      <w:r>
        <w:rPr/>
        <w:t xml:space="preserve">G. Abbott-Smith, </w:t>
      </w:r>
      <w:r>
        <w:rPr>
          <w:i/>
          <w:iCs/>
        </w:rPr>
        <w:t>A Manual Greek Lexicon of the New Testament</w:t>
      </w:r>
      <w:r>
        <w:rPr/>
        <w:t>, s.v. πίστις, digital edition at studylight.org.</w:t>
      </w:r>
    </w:p>
  </w:footnote>
  <w:footnote w:id="7">
    <w:p>
      <w:pPr>
        <w:pStyle w:val="FootnoteText"/>
        <w:rPr/>
      </w:pPr>
      <w:r>
        <w:rPr>
          <w:rStyle w:val="FootnoteCharacters"/>
        </w:rPr>
        <w:footnoteRef/>
      </w:r>
      <w:r>
        <w:rPr/>
        <w:t xml:space="preserve"> </w:t>
      </w:r>
      <w:r>
        <w:rPr>
          <w:i/>
          <w:iCs/>
        </w:rPr>
        <w:t>Mounce Concise Greek-English Dictionary</w:t>
      </w:r>
      <w:r>
        <w:rPr/>
        <w:t>, s.v. πίστις (GK 4411), digital edition, billmounce.com.</w:t>
      </w:r>
    </w:p>
  </w:footnote>
  <w:footnote w:id="8">
    <w:p>
      <w:pPr>
        <w:pStyle w:val="FootnoteText"/>
        <w:rPr/>
      </w:pPr>
      <w:r>
        <w:rPr>
          <w:rStyle w:val="FootnoteCharacters"/>
        </w:rPr>
        <w:footnoteRef/>
      </w:r>
      <w:r>
        <w:rPr/>
        <w:t xml:space="preserve"> </w:t>
      </w:r>
      <w:r>
        <w:rPr/>
        <w:t>BDAG, TDNT, and NIDNTTE were not directly consulted for this study; see “Sources Consulted,” third tier. Their entries on this word group should be independently confirmed before use in teaching.</w:t>
      </w:r>
    </w:p>
  </w:footnote>
  <w:footnote w:id="9">
    <w:p>
      <w:pPr>
        <w:pStyle w:val="FootnoteText"/>
        <w:rPr/>
      </w:pPr>
      <w:r>
        <w:rPr>
          <w:rStyle w:val="FootnoteCharacters"/>
        </w:rPr>
        <w:footnoteRef/>
      </w:r>
      <w:r>
        <w:rPr/>
        <w:t xml:space="preserve"> </w:t>
      </w:r>
      <w:r>
        <w:rPr/>
        <w:t xml:space="preserve">Wayne Grudem, </w:t>
      </w:r>
      <w:r>
        <w:rPr>
          <w:i/>
          <w:iCs/>
        </w:rPr>
        <w:t>Systematic Theology</w:t>
      </w:r>
      <w:r>
        <w:rPr/>
        <w:t xml:space="preserve"> (Grand Rapids: Zondervan, 1994), ch. 35, “Conversion (Faith and Repentance).” Located through a third-party chapter summary rather than direct reading of the volume; should be independently confirmed before use in teaching.</w:t>
      </w:r>
    </w:p>
  </w:footnote>
  <w:footnote w:id="10">
    <w:p>
      <w:pPr>
        <w:pStyle w:val="FootnoteText"/>
        <w:rPr/>
      </w:pPr>
      <w:r>
        <w:rPr>
          <w:rStyle w:val="FootnoteCharacters"/>
        </w:rPr>
        <w:footnoteRef/>
      </w:r>
      <w:r>
        <w:rPr/>
        <w:t xml:space="preserve"> </w:t>
      </w:r>
      <w:r>
        <w:rPr/>
        <w:t>Greek text and morphological parsing of Ephesians 6:16 from the interlinear at biblehub.com: θυρεόν is a noun, accusative masculine singular.</w:t>
      </w:r>
    </w:p>
  </w:footnote>
  <w:footnote w:id="11">
    <w:p>
      <w:pPr>
        <w:pStyle w:val="FootnoteText"/>
        <w:rPr/>
      </w:pPr>
      <w:r>
        <w:rPr>
          <w:rStyle w:val="FootnoteCharacters"/>
        </w:rPr>
        <w:footnoteRef/>
      </w:r>
      <w:r>
        <w:rPr/>
        <w:t xml:space="preserve"> </w:t>
      </w:r>
      <w:r>
        <w:rPr/>
        <w:t xml:space="preserve">Liddell, Scott, and Jones, </w:t>
      </w:r>
      <w:r>
        <w:rPr>
          <w:i/>
          <w:iCs/>
        </w:rPr>
        <w:t>A Greek-English Lexicon</w:t>
      </w:r>
      <w:r>
        <w:rPr/>
        <w:t>, s.v. θυρεός, digital editions at lsj.gr and studylight.org.</w:t>
      </w:r>
    </w:p>
  </w:footnote>
  <w:footnote w:id="12">
    <w:p>
      <w:pPr>
        <w:pStyle w:val="FootnoteText"/>
        <w:rPr/>
      </w:pPr>
      <w:r>
        <w:rPr>
          <w:rStyle w:val="FootnoteCharacters"/>
        </w:rPr>
        <w:footnoteRef/>
      </w:r>
      <w:r>
        <w:rPr/>
        <w:t xml:space="preserve"> </w:t>
      </w:r>
      <w:r>
        <w:rPr/>
        <w:t xml:space="preserve">Abbott-Smith, </w:t>
      </w:r>
      <w:r>
        <w:rPr>
          <w:i/>
          <w:iCs/>
        </w:rPr>
        <w:t>Manual Greek Lexicon</w:t>
      </w:r>
      <w:r>
        <w:rPr/>
        <w:t xml:space="preserve">, s.v. θυρεός, digital edition at studylight.org. The bracketed note records the word’s use in the Septuagint for the Hebrew words numbered H4043 and H6793 — that is, </w:t>
      </w:r>
      <w:r>
        <w:rPr>
          <w:rtl w:val="true"/>
        </w:rPr>
        <w:t>מָגֵן</w:t>
      </w:r>
      <w:r>
        <w:rPr/>
        <w:t xml:space="preserve"> </w:t>
      </w:r>
      <w:r>
        <w:rPr/>
        <w:t xml:space="preserve">and </w:t>
      </w:r>
      <w:r>
        <w:rPr>
          <w:rtl w:val="true"/>
        </w:rPr>
        <w:t>צִנָּה</w:t>
      </w:r>
      <w:r>
        <w:rPr/>
        <w:t>. (Strong’s numbers are used here only as lookup identifiers, not as a source of meaning.)</w:t>
      </w:r>
    </w:p>
  </w:footnote>
  <w:footnote w:id="13">
    <w:p>
      <w:pPr>
        <w:pStyle w:val="FootnoteText"/>
        <w:rPr/>
      </w:pPr>
      <w:r>
        <w:rPr>
          <w:rStyle w:val="FootnoteCharacters"/>
        </w:rPr>
        <w:footnoteRef/>
      </w:r>
      <w:r>
        <w:rPr/>
        <w:t xml:space="preserve"> </w:t>
      </w:r>
      <w:r>
        <w:rPr/>
        <w:t xml:space="preserve">Marvin R. Vincent, </w:t>
      </w:r>
      <w:r>
        <w:rPr>
          <w:i/>
          <w:iCs/>
        </w:rPr>
        <w:t>Word Studies in the New Testament</w:t>
      </w:r>
      <w:r>
        <w:rPr/>
        <w:t>, on Ephesians 6:16, digital edition at biblehub.com.</w:t>
      </w:r>
    </w:p>
  </w:footnote>
  <w:footnote w:id="14">
    <w:p>
      <w:pPr>
        <w:pStyle w:val="FootnoteText"/>
        <w:rPr/>
      </w:pPr>
      <w:r>
        <w:rPr>
          <w:rStyle w:val="FootnoteCharacters"/>
        </w:rPr>
        <w:footnoteRef/>
      </w:r>
      <w:r>
        <w:rPr/>
        <w:t xml:space="preserve"> </w:t>
      </w:r>
      <w:r>
        <w:rPr/>
        <w:t>Biblehub interlinear, Ephesians 6:16: πεπυρωμένα (verb, perfect participle middle/passive, accusative neuter plural, from πυρόω); βέλη (noun, accusative neuter plural); σβέσαι (verb, aorist infinitive active, from σβέννυμι).</w:t>
      </w:r>
    </w:p>
  </w:footnote>
  <w:footnote w:id="15">
    <w:p>
      <w:pPr>
        <w:pStyle w:val="FootnoteText"/>
        <w:rPr/>
      </w:pPr>
      <w:r>
        <w:rPr>
          <w:rStyle w:val="FootnoteCharacters"/>
        </w:rPr>
        <w:footnoteRef/>
      </w:r>
      <w:r>
        <w:rPr/>
        <w:t xml:space="preserve"> </w:t>
      </w:r>
      <w:r>
        <w:rPr/>
        <w:t xml:space="preserve">Albert Barnes, </w:t>
      </w:r>
      <w:r>
        <w:rPr>
          <w:i/>
          <w:iCs/>
        </w:rPr>
        <w:t>Notes on the New Testament</w:t>
      </w:r>
      <w:r>
        <w:rPr/>
        <w:t>, on Ephesians 6:16, digital edition at biblehub.com.</w:t>
      </w:r>
    </w:p>
  </w:footnote>
  <w:footnote w:id="16">
    <w:p>
      <w:pPr>
        <w:pStyle w:val="FootnoteText"/>
        <w:rPr/>
      </w:pPr>
      <w:r>
        <w:rPr>
          <w:rStyle w:val="FootnoteCharacters"/>
        </w:rPr>
        <w:footnoteRef/>
      </w:r>
      <w:r>
        <w:rPr/>
        <w:t xml:space="preserve"> </w:t>
      </w:r>
      <w:r>
        <w:rPr/>
        <w:t xml:space="preserve">Abbott-Smith, </w:t>
      </w:r>
      <w:r>
        <w:rPr>
          <w:i/>
          <w:iCs/>
        </w:rPr>
        <w:t>Manual Greek Lexicon</w:t>
      </w:r>
      <w:r>
        <w:rPr/>
        <w:t>, s.v. σβέννυμι, digital edition at studylight.org.</w:t>
      </w:r>
    </w:p>
  </w:footnote>
  <w:footnote w:id="17">
    <w:p>
      <w:pPr>
        <w:pStyle w:val="FootnoteText"/>
        <w:rPr/>
      </w:pPr>
      <w:r>
        <w:rPr>
          <w:rStyle w:val="FootnoteCharacters"/>
        </w:rPr>
        <w:footnoteRef/>
      </w:r>
      <w:r>
        <w:rPr/>
        <w:t xml:space="preserve"> </w:t>
      </w:r>
      <w:r>
        <w:rPr/>
        <w:t xml:space="preserve">Liddell, Scott, and Jones, </w:t>
      </w:r>
      <w:r>
        <w:rPr>
          <w:i/>
          <w:iCs/>
        </w:rPr>
        <w:t>Greek-English Lexicon</w:t>
      </w:r>
      <w:r>
        <w:rPr/>
        <w:t>, s.v. σβέννυμι, digital edition at studylight.org.</w:t>
      </w:r>
    </w:p>
  </w:footnote>
  <w:footnote w:id="18">
    <w:p>
      <w:pPr>
        <w:pStyle w:val="FootnoteText"/>
        <w:rPr/>
      </w:pPr>
      <w:r>
        <w:rPr>
          <w:rStyle w:val="FootnoteCharacters"/>
        </w:rPr>
        <w:footnoteRef/>
      </w:r>
      <w:r>
        <w:rPr/>
        <w:t xml:space="preserve"> </w:t>
      </w:r>
      <w:r>
        <w:rPr/>
        <w:t>The verbal parallels between Isaiah 59:17 and Ephesians 6:14, 17 (breastplate of righteousness; helmet of salvation) are widely noted in the commentary tradition. The observation here rests on direct comparison of the two texts in the NKJV rather than on a commentator’s authority; readers who wish a scholarly treatment should consult a full-length commentary on Ephesians, none of which was directly available for this study.</w:t>
      </w:r>
    </w:p>
  </w:footnote>
  <w:footnote w:id="19">
    <w:p>
      <w:pPr>
        <w:pStyle w:val="FootnoteText"/>
        <w:rPr/>
      </w:pPr>
      <w:r>
        <w:rPr>
          <w:rStyle w:val="FootnoteCharacters"/>
        </w:rPr>
        <w:footnoteRef/>
      </w:r>
      <w:r>
        <w:rPr/>
        <w:t xml:space="preserve"> </w:t>
      </w:r>
      <w:r>
        <w:rPr/>
        <w:t>Parallel Greek texts of Romans 10:17 at biblehub.com: the Nestle text (1904) reads ἄρα ἡ πίστις ἐξ ἀκοῆς, ἡ δὲ ἀκοὴ διὰ ῥήματος Χριστοῦ; the Byzantine Majority Text (2005) and the Textus Receptus, which the NKJV follows, read διὰ ῥήματος θεοῦ.</w:t>
      </w:r>
    </w:p>
  </w:footnote>
  <w:footnote w:id="20">
    <w:p>
      <w:pPr>
        <w:pStyle w:val="FootnoteText"/>
        <w:rPr/>
      </w:pPr>
      <w:r>
        <w:rPr>
          <w:rStyle w:val="FootnoteCharacters"/>
        </w:rPr>
        <w:footnoteRef/>
      </w:r>
      <w:r>
        <w:rPr/>
        <w:t xml:space="preserve"> </w:t>
      </w:r>
      <w:r>
        <w:rPr>
          <w:i/>
          <w:iCs/>
        </w:rPr>
        <w:t>Mounce Concise Greek-English Dictionary</w:t>
      </w:r>
      <w:r>
        <w:rPr/>
        <w:t>, s.v. ῥῆμα (GK 4839), digital edition, billmounce.com.</w:t>
      </w:r>
    </w:p>
  </w:footnote>
  <w:footnote w:id="21">
    <w:p>
      <w:pPr>
        <w:pStyle w:val="FootnoteText"/>
        <w:rPr/>
      </w:pPr>
      <w:r>
        <w:rPr>
          <w:rStyle w:val="FootnoteCharacters"/>
        </w:rPr>
        <w:footnoteRef/>
      </w:r>
      <w:r>
        <w:rPr/>
        <w:t xml:space="preserve"> </w:t>
      </w:r>
      <w:r>
        <w:rPr>
          <w:i/>
          <w:iCs/>
        </w:rPr>
        <w:t>Mounce Concise Greek-English Dictionary</w:t>
      </w:r>
      <w:r>
        <w:rPr/>
        <w:t>, s.v. λόγος (GK 3364), digital edition, billmounce.com.</w:t>
      </w:r>
    </w:p>
  </w:footnote>
  <w:footnote w:id="22">
    <w:p>
      <w:pPr>
        <w:pStyle w:val="FootnoteText"/>
        <w:rPr/>
      </w:pPr>
      <w:r>
        <w:rPr>
          <w:rStyle w:val="FootnoteCharacters"/>
        </w:rPr>
        <w:footnoteRef/>
      </w:r>
      <w:r>
        <w:rPr/>
        <w:t xml:space="preserve"> </w:t>
      </w:r>
      <w:r>
        <w:rPr/>
        <w:t xml:space="preserve">Abbott-Smith, </w:t>
      </w:r>
      <w:r>
        <w:rPr>
          <w:i/>
          <w:iCs/>
        </w:rPr>
        <w:t>Manual Greek Lexicon</w:t>
      </w:r>
      <w:r>
        <w:rPr/>
        <w:t>, s.v. ῥῆμα, digital edition at studylight.org.</w:t>
      </w:r>
    </w:p>
  </w:footnote>
  <w:footnote w:id="23">
    <w:p>
      <w:pPr>
        <w:pStyle w:val="FootnoteText"/>
        <w:rPr/>
      </w:pPr>
      <w:r>
        <w:rPr>
          <w:rStyle w:val="FootnoteCharacters"/>
        </w:rPr>
        <w:footnoteRef/>
      </w:r>
      <w:r>
        <w:rPr/>
        <w:t xml:space="preserve"> </w:t>
      </w:r>
      <w:r>
        <w:rPr/>
        <w:t xml:space="preserve">Abbott-Smith, </w:t>
      </w:r>
      <w:r>
        <w:rPr>
          <w:i/>
          <w:iCs/>
        </w:rPr>
        <w:t>Manual Greek Lexicon</w:t>
      </w:r>
      <w:r>
        <w:rPr/>
        <w:t>, s.v. λόγος, digital edition at studylight.org. Compare Liddell, Scott, and Jones on the same word, which likewise gives “the act of speaking, speech” among its senses — a range that overlaps ῥῆμα rather than standing opposed to it.</w:t>
      </w:r>
    </w:p>
  </w:footnote>
  <w:footnote w:id="24">
    <w:p>
      <w:pPr>
        <w:pStyle w:val="FootnoteText"/>
        <w:rPr/>
      </w:pPr>
      <w:r>
        <w:rPr>
          <w:rStyle w:val="FootnoteCharacters"/>
        </w:rPr>
        <w:footnoteRef/>
      </w:r>
      <w:r>
        <w:rPr/>
        <w:t xml:space="preserve"> </w:t>
      </w:r>
      <w:r>
        <w:rPr/>
        <w:t>Greek text and parsing of Ephesians 6:19 from the interlinear at biblehub.com: the word the NKJV renders “utterance” is λόγος.</w:t>
      </w:r>
    </w:p>
  </w:footnote>
  <w:footnote w:id="25">
    <w:p>
      <w:pPr>
        <w:pStyle w:val="FootnoteText"/>
        <w:rPr/>
      </w:pPr>
      <w:r>
        <w:rPr>
          <w:rStyle w:val="FootnoteCharacters"/>
        </w:rPr>
        <w:footnoteRef/>
      </w:r>
      <w:r>
        <w:rPr/>
        <w:t xml:space="preserve"> </w:t>
      </w:r>
      <w:r>
        <w:rPr/>
        <w:t>Greek text and parsing of Ephesians 5:26 from the interlinear at biblehub.com: the word the NKJV renders “the word” is ῥήματι, the dative singular of ῥῆμα.</w:t>
      </w:r>
    </w:p>
  </w:footnote>
  <w:footnote w:id="26">
    <w:p>
      <w:pPr>
        <w:pStyle w:val="FootnoteText"/>
        <w:rPr/>
      </w:pPr>
      <w:r>
        <w:rPr>
          <w:rStyle w:val="FootnoteCharacters"/>
        </w:rPr>
        <w:footnoteRef/>
      </w:r>
      <w:r>
        <w:rPr/>
        <w:t xml:space="preserve"> </w:t>
      </w:r>
      <w:r>
        <w:rPr/>
        <w:t xml:space="preserve">Abbott-Smith, </w:t>
      </w:r>
      <w:r>
        <w:rPr>
          <w:i/>
          <w:iCs/>
        </w:rPr>
        <w:t>Manual Greek Lexicon</w:t>
      </w:r>
      <w:r>
        <w:rPr/>
        <w:t>, s.v. δοκίμιον, digital edition at studylight.org.</w:t>
      </w:r>
    </w:p>
  </w:footnote>
  <w:footnote w:id="27">
    <w:p>
      <w:pPr>
        <w:pStyle w:val="FootnoteText"/>
        <w:rPr/>
      </w:pPr>
      <w:r>
        <w:rPr>
          <w:rStyle w:val="FootnoteCharacters"/>
        </w:rPr>
        <w:footnoteRef/>
      </w:r>
      <w:r>
        <w:rPr/>
        <w:t xml:space="preserve"> </w:t>
      </w:r>
      <w:r>
        <w:rPr/>
        <w:t xml:space="preserve">The papyrus evidence for the sense “standard gold” is associated with Moulton and Milligan, </w:t>
      </w:r>
      <w:r>
        <w:rPr>
          <w:i/>
          <w:iCs/>
        </w:rPr>
        <w:t>Vocabulary of the Greek Testament</w:t>
      </w:r>
      <w:r>
        <w:rPr/>
        <w:t>, and was encountered here through the aggregated lexicon page at studylight.org rather than in the printed volume; the wording should be confirmed against the printed edition before being quoted as theirs.</w:t>
      </w:r>
    </w:p>
  </w:footnote>
  <w:footnote w:id="28">
    <w:p>
      <w:pPr>
        <w:pStyle w:val="FootnoteText"/>
        <w:rPr/>
      </w:pPr>
      <w:r>
        <w:rPr>
          <w:rStyle w:val="FootnoteCharacters"/>
        </w:rPr>
        <w:footnoteRef/>
      </w:r>
      <w:r>
        <w:rPr/>
        <w:t xml:space="preserve"> </w:t>
      </w:r>
      <w:r>
        <w:rPr/>
        <w:t>Charles Capps, as quoted in John MacArthur, “Toxic Television: A Biblical Answer to the Prosperity Gospel, Part 1,” sermon transcript, Grace to You (gty.org).</w:t>
      </w:r>
    </w:p>
  </w:footnote>
  <w:footnote w:id="29">
    <w:p>
      <w:pPr>
        <w:pStyle w:val="FootnoteText"/>
        <w:rPr/>
      </w:pPr>
      <w:r>
        <w:rPr>
          <w:rStyle w:val="FootnoteCharacters"/>
        </w:rPr>
        <w:footnoteRef/>
      </w:r>
      <w:r>
        <w:rPr/>
        <w:t xml:space="preserve"> </w:t>
      </w:r>
      <w:r>
        <w:rPr/>
        <w:t>MacArthur, “Toxic Television,” Part 1.</w:t>
      </w:r>
    </w:p>
  </w:footnote>
  <w:footnote w:id="30">
    <w:p>
      <w:pPr>
        <w:pStyle w:val="FootnoteText"/>
        <w:rPr/>
      </w:pPr>
      <w:r>
        <w:rPr>
          <w:rStyle w:val="FootnoteCharacters"/>
        </w:rPr>
        <w:footnoteRef/>
      </w:r>
      <w:r>
        <w:rPr/>
        <w:t xml:space="preserve"> </w:t>
      </w:r>
      <w:r>
        <w:rPr/>
        <w:t>Greek text and parsing of Ephesians 6:13 from the interlinear at biblehub.com: ἀναλάβετε (verb, aorist imperative active, second person plural, from ἀναλαμβάνω).</w:t>
      </w:r>
    </w:p>
  </w:footnote>
  <w:footnote w:id="31">
    <w:p>
      <w:pPr>
        <w:pStyle w:val="FootnoteText"/>
        <w:rPr/>
      </w:pPr>
      <w:r>
        <w:rPr>
          <w:rStyle w:val="FootnoteCharacters"/>
        </w:rPr>
        <w:footnoteRef/>
      </w:r>
      <w:r>
        <w:rPr/>
        <w:t xml:space="preserve"> </w:t>
      </w:r>
      <w:r>
        <w:rPr/>
        <w:t>Greek text and parsing of Ephesians 6:10 from the interlinear at biblehub.com: ἐνδυναμοῦσθε (verb, present imperative middle/passive, second person plural).</w:t>
      </w:r>
    </w:p>
  </w:footnote>
  <w:footnote w:id="32">
    <w:p>
      <w:pPr>
        <w:pStyle w:val="FootnoteText"/>
        <w:rPr/>
      </w:pPr>
      <w:r>
        <w:rPr>
          <w:rStyle w:val="FootnoteCharacters"/>
        </w:rPr>
        <w:footnoteRef/>
      </w:r>
      <w:r>
        <w:rPr/>
        <w:t xml:space="preserve"> </w:t>
      </w:r>
      <w:r>
        <w:rPr/>
        <w:t>Biblehub interlinear, Ephesians 6:13, on ἀναλάβετε; see the parsing given above at section 4.3.</w:t>
      </w:r>
    </w:p>
  </w:footnote>
  <w:footnote w:id="33">
    <w:p>
      <w:pPr>
        <w:pStyle w:val="FootnoteText"/>
        <w:rPr/>
      </w:pPr>
      <w:r>
        <w:rPr>
          <w:rStyle w:val="FootnoteCharacters"/>
        </w:rPr>
        <w:footnoteRef/>
      </w:r>
      <w:r>
        <w:rPr/>
        <w:t xml:space="preserve"> </w:t>
      </w:r>
      <w:r>
        <w:rPr/>
        <w:t xml:space="preserve">Liddell, Scott, and Jones, </w:t>
      </w:r>
      <w:r>
        <w:rPr>
          <w:i/>
          <w:iCs/>
        </w:rPr>
        <w:t>Greek-English Lexicon</w:t>
      </w:r>
      <w:r>
        <w:rPr/>
        <w:t>, s.v. μάχαιρα, digital edition at studylight.org.</w:t>
      </w:r>
    </w:p>
  </w:footnote>
  <w:footnote w:id="34">
    <w:p>
      <w:pPr>
        <w:pStyle w:val="FootnoteText"/>
        <w:rPr/>
      </w:pPr>
      <w:r>
        <w:rPr>
          <w:rStyle w:val="FootnoteCharacters"/>
        </w:rPr>
        <w:footnoteRef/>
      </w:r>
      <w:r>
        <w:rPr/>
        <w:t xml:space="preserve"> </w:t>
      </w:r>
      <w:r>
        <w:rPr/>
        <w:t xml:space="preserve">Abbott-Smith, </w:t>
      </w:r>
      <w:r>
        <w:rPr>
          <w:i/>
          <w:iCs/>
        </w:rPr>
        <w:t>Manual Greek Lexicon</w:t>
      </w:r>
      <w:r>
        <w:rPr/>
        <w:t>, s.v. μάχαιρα, digital edition at studylight.org.</w:t>
      </w:r>
    </w:p>
  </w:footnote>
  <w:footnote w:id="35">
    <w:p>
      <w:pPr>
        <w:pStyle w:val="FootnoteText"/>
        <w:rPr/>
      </w:pPr>
      <w:r>
        <w:rPr>
          <w:rStyle w:val="FootnoteCharacters"/>
        </w:rPr>
        <w:footnoteRef/>
      </w:r>
      <w:r>
        <w:rPr/>
        <w:t xml:space="preserve"> </w:t>
      </w:r>
      <w:r>
        <w:rPr/>
        <w:t xml:space="preserve">Brown, Driver, and Briggs, </w:t>
      </w:r>
      <w:r>
        <w:rPr>
          <w:i/>
          <w:iCs/>
        </w:rPr>
        <w:t>A Hebrew and English Lexicon of the Old Testament</w:t>
      </w:r>
      <w:r>
        <w:rPr/>
        <w:t>, s.v. </w:t>
      </w:r>
      <w:r>
        <w:rPr>
          <w:rtl w:val="true"/>
        </w:rPr>
        <w:t>מָגֵן</w:t>
      </w:r>
      <w:r>
        <w:rPr/>
        <w:t>, digital edition at studylight.org.</w:t>
      </w:r>
    </w:p>
  </w:footnote>
  <w:footnote w:id="36">
    <w:p>
      <w:pPr>
        <w:pStyle w:val="FootnoteText"/>
        <w:rPr/>
      </w:pPr>
      <w:r>
        <w:rPr>
          <w:rStyle w:val="FootnoteCharacters"/>
        </w:rPr>
        <w:footnoteRef/>
      </w:r>
      <w:r>
        <w:rPr/>
        <w:t xml:space="preserve"> </w:t>
      </w:r>
      <w:r>
        <w:rPr/>
        <w:t xml:space="preserve">Brown, Driver, and Briggs, </w:t>
      </w:r>
      <w:r>
        <w:rPr>
          <w:i/>
          <w:iCs/>
        </w:rPr>
        <w:t>Hebrew and English Lexicon</w:t>
      </w:r>
      <w:r>
        <w:rPr/>
        <w:t>, s.v. </w:t>
      </w:r>
      <w:r>
        <w:rPr>
          <w:rtl w:val="true"/>
        </w:rPr>
        <w:t>צִנָּה</w:t>
      </w:r>
      <w:r>
        <w:rPr/>
        <w:t xml:space="preserve">, digital edition at studylight.org, which gives “noun feminine large shield (covering whole body)” and notes it is “larger than </w:t>
      </w:r>
      <w:r>
        <w:rPr>
          <w:rtl w:val="true"/>
        </w:rPr>
        <w:t>מָגֵן</w:t>
      </w:r>
      <w:r>
        <w:rPr/>
        <w:t>,” citing 1 Kings 10:16.</w:t>
      </w:r>
    </w:p>
  </w:footnote>
  <w:footnote w:id="37">
    <w:p>
      <w:pPr>
        <w:pStyle w:val="FootnoteText"/>
        <w:rPr/>
      </w:pPr>
      <w:r>
        <w:rPr>
          <w:rStyle w:val="FootnoteCharacters"/>
        </w:rPr>
        <w:footnoteRef/>
      </w:r>
      <w:r>
        <w:rPr/>
        <w:t xml:space="preserve"> </w:t>
      </w:r>
      <w:r>
        <w:rPr/>
        <w:t xml:space="preserve">Brown, Driver, and Briggs, </w:t>
      </w:r>
      <w:r>
        <w:rPr>
          <w:i/>
          <w:iCs/>
        </w:rPr>
        <w:t>Hebrew and English Lexicon</w:t>
      </w:r>
      <w:r>
        <w:rPr/>
        <w:t>, s.v. </w:t>
      </w:r>
      <w:r>
        <w:rPr>
          <w:rtl w:val="true"/>
        </w:rPr>
        <w:t>סֹחֵרָה</w:t>
      </w:r>
      <w:r>
        <w:rPr/>
        <w:t xml:space="preserve">, digital edition at studylight.org: “noun feminine buckler; — Psalm 91:4 (+ </w:t>
      </w:r>
      <w:r>
        <w:rPr>
          <w:rtl w:val="true"/>
        </w:rPr>
        <w:t>צִנָּה</w:t>
      </w:r>
      <w:r>
        <w:rPr/>
        <w:t xml:space="preserve">; figurative of </w:t>
      </w:r>
      <w:r>
        <w:rPr>
          <w:rtl w:val="true"/>
        </w:rPr>
        <w:t>י’ה</w:t>
      </w:r>
      <w:r>
        <w:rPr/>
        <w:t>’</w:t>
      </w:r>
      <w:r>
        <w:rPr/>
        <w:t>s faithfulness).”</w:t>
      </w:r>
    </w:p>
  </w:footnote>
  <w:footnote w:id="38">
    <w:p>
      <w:pPr>
        <w:pStyle w:val="FootnoteText"/>
        <w:rPr/>
      </w:pPr>
      <w:r>
        <w:rPr>
          <w:rStyle w:val="FootnoteCharacters"/>
        </w:rPr>
        <w:footnoteRef/>
      </w:r>
      <w:r>
        <w:rPr/>
        <w:t xml:space="preserve"> </w:t>
      </w:r>
      <w:r>
        <w:rPr/>
        <w:t xml:space="preserve">Brown, Driver, and Briggs, </w:t>
      </w:r>
      <w:r>
        <w:rPr>
          <w:i/>
          <w:iCs/>
        </w:rPr>
        <w:t>Hebrew and English Lexicon</w:t>
      </w:r>
      <w:r>
        <w:rPr/>
        <w:t>, s.v. </w:t>
      </w:r>
      <w:r>
        <w:rPr>
          <w:rtl w:val="true"/>
        </w:rPr>
        <w:t>אֱמוּנָה</w:t>
      </w:r>
      <w:r>
        <w:rPr/>
        <w:t>, digital edition at biblehub.com: “noun feminine firmness, steadfastness, fidelity.”</w:t>
      </w:r>
    </w:p>
  </w:footnote>
  <w:footnote w:id="39">
    <w:p>
      <w:pPr>
        <w:pStyle w:val="FootnoteText"/>
        <w:rPr/>
      </w:pPr>
      <w:r>
        <w:rPr>
          <w:rStyle w:val="FootnoteCharacters"/>
        </w:rPr>
        <w:footnoteRef/>
      </w:r>
      <w:r>
        <w:rPr/>
        <w:t xml:space="preserve"> </w:t>
      </w:r>
      <w:r>
        <w:rPr/>
        <w:t xml:space="preserve">Abbott-Smith, </w:t>
      </w:r>
      <w:r>
        <w:rPr>
          <w:i/>
          <w:iCs/>
        </w:rPr>
        <w:t>Manual Greek Lexicon</w:t>
      </w:r>
      <w:r>
        <w:rPr/>
        <w:t>, s.v. νίκη, digital edition at studylight.org: “victory: 1 John 5:4,” with Septuagint occurrences noted at 1 Chronicles 29:11 and frequently in the books of Maccabees.</w:t>
      </w:r>
    </w:p>
  </w:footnote>
  <w:footnote w:id="40">
    <w:p>
      <w:pPr>
        <w:pStyle w:val="FootnoteText"/>
        <w:rPr/>
      </w:pPr>
      <w:r>
        <w:rPr>
          <w:rStyle w:val="FootnoteCharacters"/>
        </w:rPr>
        <w:footnoteRef/>
      </w:r>
      <w:r>
        <w:rPr/>
        <w:t xml:space="preserve"> </w:t>
      </w:r>
      <w:r>
        <w:rPr/>
        <w:t xml:space="preserve">The frequently quoted line “Great, says Grotius, is the laxity of falsehood; truth binds the man” appears in Albert Barnes, </w:t>
      </w:r>
      <w:r>
        <w:rPr>
          <w:i/>
          <w:iCs/>
        </w:rPr>
        <w:t>Notes on the New Testament</w:t>
      </w:r>
      <w:r>
        <w:rPr/>
        <w:t>, at Ephesians 6:14 — the girdle of truth — and is Barnes quoting Hugo Grotius, not Barnes speaking in his own voice, and not a comment on 6:16. Verified at biblehub.com.</w:t>
      </w:r>
    </w:p>
  </w:footnote>
</w:footnotes>
</file>

<file path=word/settings.xml><?xml version="1.0" encoding="utf-8"?>
<w:settings xmlns:w="http://schemas.openxmlformats.org/wordprocessingml/2006/main">
  <w:zoom w:percent="100"/>
  <w:embedSystemFonts/>
  <w:defaultTabStop w:val="720"/>
  <w:autoHyphenation w:val="true"/>
  <w:footnotePr>
    <w:numFmt w:val="decimal"/>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 w:asciiTheme="minorHAnsi" w:cstheme="minorBidi" w:eastAsiaTheme="minorHAnsi" w:hAnsiTheme="minorHAnsi"/>
        <w:sz w:val="24"/>
        <w:szCs w:val="24"/>
        <w:lang w:val="en-US" w:eastAsia="en-US" w:bidi="ar-SA"/>
      </w:rPr>
    </w:rPrDefault>
    <w:pPrDefault>
      <w:pPr>
        <w:suppressAutoHyphens w:val="true"/>
      </w:pPr>
    </w:pPrDefault>
  </w:docDefaults>
  <w:latentStyles w:defLockedState="0" w:defUIPriority="0" w:defSemiHidden="0" w:defUnhideWhenUsed="0" w:defQFormat="0" w:count="276"/>
  <w:style w:type="paragraph" w:styleId="Normal" w:default="1">
    <w:name w:val="Normal"/>
    <w:qFormat/>
    <w:pPr>
      <w:widowControl/>
      <w:bidi w:val="0"/>
      <w:spacing w:lineRule="auto" w:line="252" w:before="0" w:after="60"/>
      <w:jc w:val="left"/>
    </w:pPr>
    <w:rPr>
      <w:rFonts w:ascii="Arial" w:hAnsi="Arial" w:eastAsia="Arial" w:cs="Arial"/>
      <w:color w:val="000000"/>
      <w:kern w:val="0"/>
      <w:sz w:val="24"/>
      <w:szCs w:val="24"/>
      <w:lang w:val="en-US" w:eastAsia="en-US" w:bidi="ar-SA"/>
    </w:rPr>
  </w:style>
  <w:style w:type="paragraph" w:styleId="Heading1">
    <w:name w:val="Heading 1"/>
    <w:basedOn w:val="Normal"/>
    <w:next w:val="BodyText"/>
    <w:uiPriority w:val="9"/>
    <w:qFormat/>
    <w:pPr>
      <w:keepNext w:val="true"/>
      <w:keepLines/>
      <w:spacing w:before="240" w:after="120"/>
      <w:outlineLvl w:val="0"/>
    </w:pPr>
    <w:rPr>
      <w:rFonts w:ascii="Arial" w:hAnsi="Arial" w:eastAsia="Arial" w:cs="Arial"/>
      <w:b/>
      <w:bCs/>
      <w:i/>
      <w:iCs/>
      <w:color w:val="000000"/>
      <w:sz w:val="32"/>
      <w:szCs w:val="32"/>
    </w:rPr>
  </w:style>
  <w:style w:type="paragraph" w:styleId="Heading2">
    <w:name w:val="Heading 2"/>
    <w:basedOn w:val="Normal"/>
    <w:next w:val="BodyText"/>
    <w:uiPriority w:val="9"/>
    <w:unhideWhenUsed/>
    <w:qFormat/>
    <w:pPr>
      <w:keepNext w:val="true"/>
      <w:keepLines/>
      <w:spacing w:before="120" w:after="120"/>
      <w:outlineLvl w:val="1"/>
    </w:pPr>
    <w:rPr>
      <w:rFonts w:ascii="Arial" w:hAnsi="Arial" w:eastAsia="Arial" w:cs="Arial"/>
      <w:b/>
      <w:bCs/>
      <w:color w:val="000000"/>
      <w:sz w:val="28"/>
      <w:szCs w:val="28"/>
      <w:u w:val="single"/>
    </w:rPr>
  </w:style>
  <w:style w:type="paragraph" w:styleId="Heading3">
    <w:name w:val="Heading 3"/>
    <w:basedOn w:val="Normal"/>
    <w:next w:val="BodyText"/>
    <w:uiPriority w:val="9"/>
    <w:unhideWhenUsed/>
    <w:qFormat/>
    <w:pPr>
      <w:keepNext w:val="true"/>
      <w:keepLines/>
      <w:spacing w:before="120" w:after="120"/>
      <w:outlineLvl w:val="2"/>
    </w:pPr>
    <w:rPr>
      <w:rFonts w:ascii="Arial" w:hAnsi="Arial" w:eastAsia="Arial" w:cs="Arial"/>
      <w:color w:val="000000"/>
      <w:sz w:val="26"/>
      <w:szCs w:val="26"/>
    </w:rPr>
  </w:style>
  <w:style w:type="paragraph" w:styleId="Heading4">
    <w:name w:val="Heading 4"/>
    <w:basedOn w:val="Normal"/>
    <w:next w:val="BodyText"/>
    <w:uiPriority w:val="9"/>
    <w:unhideWhenUsed/>
    <w:qFormat/>
    <w:pPr>
      <w:keepNext w:val="true"/>
      <w:keepLines/>
      <w:spacing w:before="120" w:after="120"/>
      <w:outlineLvl w:val="3"/>
    </w:pPr>
    <w:rPr>
      <w:rFonts w:ascii="Arial" w:hAnsi="Arial" w:eastAsia="Arial" w:cs="Arial"/>
      <w:color w:val="000000"/>
      <w:sz w:val="24"/>
      <w:szCs w:val="24"/>
    </w:rPr>
  </w:style>
  <w:style w:type="paragraph" w:styleId="Heading5">
    <w:name w:val="Heading 5"/>
    <w:basedOn w:val="Normal"/>
    <w:next w:val="BodyText"/>
    <w:uiPriority w:val="9"/>
    <w:unhideWhenUsed/>
    <w:qFormat/>
    <w:pPr>
      <w:keepNext w:val="true"/>
      <w:keepLines/>
      <w:spacing w:before="200" w:after="0"/>
      <w:outlineLvl w:val="4"/>
    </w:pPr>
    <w:rPr>
      <w:rFonts w:ascii="Arial" w:hAnsi="Arial" w:eastAsia="" w:cs="" w:asciiTheme="majorHAnsi" w:cstheme="majorBidi" w:eastAsiaTheme="majorEastAsia" w:hAnsiTheme="majorHAnsi"/>
      <w:iCs/>
      <w:color w:themeColor="accent1" w:val="4F81BD"/>
      <w:sz w:val="24"/>
      <w:szCs w:val="24"/>
    </w:rPr>
  </w:style>
  <w:style w:type="paragraph" w:styleId="Heading6">
    <w:name w:val="Heading 6"/>
    <w:basedOn w:val="Normal"/>
    <w:next w:val="BodyText"/>
    <w:uiPriority w:val="9"/>
    <w:unhideWhenUsed/>
    <w:qFormat/>
    <w:pPr>
      <w:keepNext w:val="true"/>
      <w:keepLines/>
      <w:spacing w:before="120" w:after="120"/>
      <w:outlineLvl w:val="5"/>
    </w:pPr>
    <w:rPr>
      <w:rFonts w:ascii="Arial" w:hAnsi="Arial" w:eastAsia="Arial" w:cs="Arial"/>
      <w:color w:val="000000"/>
      <w:sz w:val="24"/>
      <w:szCs w:val="24"/>
    </w:rPr>
  </w:style>
  <w:style w:type="paragraph" w:styleId="Heading7">
    <w:name w:val="Heading 7"/>
    <w:basedOn w:val="Normal"/>
    <w:next w:val="BodyText"/>
    <w:uiPriority w:val="9"/>
    <w:unhideWhenUsed/>
    <w:qFormat/>
    <w:pPr>
      <w:keepNext w:val="true"/>
      <w:keepLines/>
      <w:spacing w:before="120" w:after="120"/>
      <w:outlineLvl w:val="6"/>
    </w:pPr>
    <w:rPr>
      <w:rFonts w:ascii="Arial" w:hAnsi="Arial" w:eastAsia="Arial" w:cs="Arial"/>
      <w:color w:val="000000"/>
      <w:sz w:val="24"/>
      <w:szCs w:val="24"/>
    </w:rPr>
  </w:style>
  <w:style w:type="paragraph" w:styleId="Heading8">
    <w:name w:val="Heading 8"/>
    <w:basedOn w:val="Normal"/>
    <w:next w:val="BodyText"/>
    <w:uiPriority w:val="9"/>
    <w:unhideWhenUsed/>
    <w:qFormat/>
    <w:pPr>
      <w:keepNext w:val="true"/>
      <w:keepLines/>
      <w:spacing w:before="120" w:after="120"/>
      <w:outlineLvl w:val="7"/>
    </w:pPr>
    <w:rPr>
      <w:rFonts w:ascii="Arial" w:hAnsi="Arial" w:eastAsia="Arial" w:cs="Arial"/>
      <w:color w:val="000000"/>
      <w:sz w:val="24"/>
      <w:szCs w:val="24"/>
    </w:rPr>
  </w:style>
  <w:style w:type="paragraph" w:styleId="Heading9">
    <w:name w:val="Heading 9"/>
    <w:basedOn w:val="Normal"/>
    <w:next w:val="BodyText"/>
    <w:uiPriority w:val="9"/>
    <w:unhideWhenUsed/>
    <w:qFormat/>
    <w:pPr>
      <w:keepNext w:val="true"/>
      <w:keepLines/>
      <w:spacing w:before="120" w:after="120"/>
      <w:outlineLvl w:val="8"/>
    </w:pPr>
    <w:rPr>
      <w:rFonts w:ascii="Arial" w:hAnsi="Arial" w:eastAsia="Arial" w:cs="Arial"/>
      <w:color w:val="000000"/>
      <w:sz w:val="24"/>
      <w:szCs w:val="24"/>
    </w:rPr>
  </w:style>
  <w:style w:type="character" w:styleId="DefaultParagraphFont" w:default="1">
    <w:name w:val="Default Paragraph Font"/>
    <w:semiHidden/>
    <w:unhideWhenUsed/>
    <w:qFormat/>
    <w:rPr/>
  </w:style>
  <w:style w:type="character" w:styleId="BodyTextChar" w:customStyle="1">
    <w:name w:val="Body Text Char"/>
    <w:basedOn w:val="DefaultParagraphFont"/>
    <w:qFormat/>
    <w:rPr/>
  </w:style>
  <w:style w:type="character" w:styleId="VerbatimChar" w:customStyle="1">
    <w:name w:val="Verbatim Char"/>
    <w:basedOn w:val="BodyTextChar"/>
    <w:qFormat/>
    <w:rPr>
      <w:rFonts w:ascii="Consolas" w:hAnsi="Consolas"/>
      <w:sz w:val="22"/>
    </w:rPr>
  </w:style>
  <w:style w:type="character" w:styleId="SectionNumber" w:customStyle="1">
    <w:name w:val="Section Number"/>
    <w:basedOn w:val="BodyTextChar"/>
    <w:qFormat/>
    <w:rPr/>
  </w:style>
  <w:style w:type="character" w:styleId="FootnoteCharacters">
    <w:name w:val="Footnote Characters"/>
    <w:basedOn w:val="BodyTextChar"/>
    <w:qFormat/>
    <w:rPr>
      <w:rFonts w:ascii="Arial" w:hAnsi="Arial" w:eastAsia="Arial" w:cs="Arial"/>
      <w:color w:val="000000"/>
      <w:sz w:val="20"/>
      <w:szCs w:val="20"/>
      <w:vertAlign w:val="superscript"/>
    </w:rPr>
  </w:style>
  <w:style w:type="character" w:styleId="FootnoteReference">
    <w:name w:val="Footnote Reference"/>
    <w:rPr>
      <w:rFonts w:ascii="Arial" w:hAnsi="Arial" w:eastAsia="Arial" w:cs="Arial"/>
      <w:color w:val="000000"/>
      <w:sz w:val="20"/>
      <w:szCs w:val="20"/>
      <w:vertAlign w:val="superscript"/>
    </w:rPr>
  </w:style>
  <w:style w:type="character" w:styleId="Hyperlink">
    <w:name w:val="Hyperlink"/>
    <w:basedOn w:val="BodyTextChar"/>
    <w:rPr>
      <w:color w:val="000000"/>
    </w:rPr>
  </w:style>
  <w:style w:type="character" w:styleId="KeywordTok" w:customStyle="1">
    <w:name w:val="KeywordTok"/>
    <w:basedOn w:val="VerbatimChar"/>
    <w:qFormat/>
    <w:rPr>
      <w:b/>
      <w:color w:val="007020"/>
    </w:rPr>
  </w:style>
  <w:style w:type="character" w:styleId="DataTypeTok" w:customStyle="1">
    <w:name w:val="DataTypeTok"/>
    <w:basedOn w:val="VerbatimChar"/>
    <w:qFormat/>
    <w:rPr>
      <w:color w:val="902000"/>
    </w:rPr>
  </w:style>
  <w:style w:type="character" w:styleId="DecValTok" w:customStyle="1">
    <w:name w:val="DecValTok"/>
    <w:basedOn w:val="VerbatimChar"/>
    <w:qFormat/>
    <w:rPr>
      <w:color w:val="40A070"/>
    </w:rPr>
  </w:style>
  <w:style w:type="character" w:styleId="BaseNTok" w:customStyle="1">
    <w:name w:val="BaseNTok"/>
    <w:basedOn w:val="VerbatimChar"/>
    <w:qFormat/>
    <w:rPr>
      <w:color w:val="40A070"/>
    </w:rPr>
  </w:style>
  <w:style w:type="character" w:styleId="FloatTok" w:customStyle="1">
    <w:name w:val="FloatTok"/>
    <w:basedOn w:val="VerbatimChar"/>
    <w:qFormat/>
    <w:rPr>
      <w:color w:val="40A070"/>
    </w:rPr>
  </w:style>
  <w:style w:type="character" w:styleId="ConstantTok" w:customStyle="1">
    <w:name w:val="ConstantTok"/>
    <w:basedOn w:val="VerbatimChar"/>
    <w:qFormat/>
    <w:rPr>
      <w:color w:val="880000"/>
    </w:rPr>
  </w:style>
  <w:style w:type="character" w:styleId="CharTok" w:customStyle="1">
    <w:name w:val="CharTok"/>
    <w:basedOn w:val="VerbatimChar"/>
    <w:qFormat/>
    <w:rPr>
      <w:color w:val="4070A0"/>
    </w:rPr>
  </w:style>
  <w:style w:type="character" w:styleId="SpecialCharTok" w:customStyle="1">
    <w:name w:val="SpecialCharTok"/>
    <w:basedOn w:val="VerbatimChar"/>
    <w:qFormat/>
    <w:rPr>
      <w:color w:val="4070A0"/>
    </w:rPr>
  </w:style>
  <w:style w:type="character" w:styleId="StringTok" w:customStyle="1">
    <w:name w:val="StringTok"/>
    <w:basedOn w:val="VerbatimChar"/>
    <w:qFormat/>
    <w:rPr>
      <w:color w:val="4070A0"/>
    </w:rPr>
  </w:style>
  <w:style w:type="character" w:styleId="VerbatimStringTok" w:customStyle="1">
    <w:name w:val="VerbatimStringTok"/>
    <w:basedOn w:val="VerbatimChar"/>
    <w:qFormat/>
    <w:rPr>
      <w:color w:val="4070A0"/>
    </w:rPr>
  </w:style>
  <w:style w:type="character" w:styleId="SpecialStringTok" w:customStyle="1">
    <w:name w:val="SpecialStringTok"/>
    <w:basedOn w:val="VerbatimChar"/>
    <w:qFormat/>
    <w:rPr>
      <w:color w:val="BB6688"/>
    </w:rPr>
  </w:style>
  <w:style w:type="character" w:styleId="ImportTok" w:customStyle="1">
    <w:name w:val="ImportTok"/>
    <w:basedOn w:val="VerbatimChar"/>
    <w:qFormat/>
    <w:rPr>
      <w:b/>
      <w:color w:val="008000"/>
    </w:rPr>
  </w:style>
  <w:style w:type="character" w:styleId="CommentTok" w:customStyle="1">
    <w:name w:val="CommentTok"/>
    <w:basedOn w:val="VerbatimChar"/>
    <w:qFormat/>
    <w:rPr>
      <w:i/>
      <w:color w:val="60A0B0"/>
    </w:rPr>
  </w:style>
  <w:style w:type="character" w:styleId="DocumentationTok" w:customStyle="1">
    <w:name w:val="DocumentationTok"/>
    <w:basedOn w:val="VerbatimChar"/>
    <w:qFormat/>
    <w:rPr>
      <w:i/>
      <w:color w:val="BA2121"/>
    </w:rPr>
  </w:style>
  <w:style w:type="character" w:styleId="AnnotationTok" w:customStyle="1">
    <w:name w:val="AnnotationTok"/>
    <w:basedOn w:val="VerbatimChar"/>
    <w:qFormat/>
    <w:rPr>
      <w:b/>
      <w:i/>
      <w:color w:val="60A0B0"/>
    </w:rPr>
  </w:style>
  <w:style w:type="character" w:styleId="CommentVarTok" w:customStyle="1">
    <w:name w:val="CommentVarTok"/>
    <w:basedOn w:val="VerbatimChar"/>
    <w:qFormat/>
    <w:rPr>
      <w:b/>
      <w:i/>
      <w:color w:val="60A0B0"/>
    </w:rPr>
  </w:style>
  <w:style w:type="character" w:styleId="OtherTok" w:customStyle="1">
    <w:name w:val="OtherTok"/>
    <w:basedOn w:val="VerbatimChar"/>
    <w:qFormat/>
    <w:rPr>
      <w:color w:val="007020"/>
    </w:rPr>
  </w:style>
  <w:style w:type="character" w:styleId="FunctionTok" w:customStyle="1">
    <w:name w:val="FunctionTok"/>
    <w:basedOn w:val="VerbatimChar"/>
    <w:qFormat/>
    <w:rPr>
      <w:color w:val="06287E"/>
    </w:rPr>
  </w:style>
  <w:style w:type="character" w:styleId="VariableTok" w:customStyle="1">
    <w:name w:val="VariableTok"/>
    <w:basedOn w:val="VerbatimChar"/>
    <w:qFormat/>
    <w:rPr>
      <w:color w:val="19177C"/>
    </w:rPr>
  </w:style>
  <w:style w:type="character" w:styleId="ControlFlowTok" w:customStyle="1">
    <w:name w:val="ControlFlowTok"/>
    <w:basedOn w:val="VerbatimChar"/>
    <w:qFormat/>
    <w:rPr>
      <w:b/>
      <w:color w:val="007020"/>
    </w:rPr>
  </w:style>
  <w:style w:type="character" w:styleId="OperatorTok" w:customStyle="1">
    <w:name w:val="OperatorTok"/>
    <w:basedOn w:val="VerbatimChar"/>
    <w:qFormat/>
    <w:rPr>
      <w:color w:val="666666"/>
    </w:rPr>
  </w:style>
  <w:style w:type="character" w:styleId="BuiltInTok" w:customStyle="1">
    <w:name w:val="BuiltInTok"/>
    <w:basedOn w:val="VerbatimChar"/>
    <w:qFormat/>
    <w:rPr>
      <w:color w:val="008000"/>
    </w:rPr>
  </w:style>
  <w:style w:type="character" w:styleId="ExtensionTok" w:customStyle="1">
    <w:name w:val="ExtensionTok"/>
    <w:basedOn w:val="VerbatimChar"/>
    <w:qFormat/>
    <w:rPr/>
  </w:style>
  <w:style w:type="character" w:styleId="PreprocessorTok" w:customStyle="1">
    <w:name w:val="PreprocessorTok"/>
    <w:basedOn w:val="VerbatimChar"/>
    <w:qFormat/>
    <w:rPr>
      <w:color w:val="BC7A00"/>
    </w:rPr>
  </w:style>
  <w:style w:type="character" w:styleId="AttributeTok" w:customStyle="1">
    <w:name w:val="AttributeTok"/>
    <w:basedOn w:val="VerbatimChar"/>
    <w:qFormat/>
    <w:rPr>
      <w:color w:val="7D9029"/>
    </w:rPr>
  </w:style>
  <w:style w:type="character" w:styleId="RegionMarkerTok" w:customStyle="1">
    <w:name w:val="RegionMarkerTok"/>
    <w:basedOn w:val="VerbatimChar"/>
    <w:qFormat/>
    <w:rPr/>
  </w:style>
  <w:style w:type="character" w:styleId="InformationTok" w:customStyle="1">
    <w:name w:val="InformationTok"/>
    <w:basedOn w:val="VerbatimChar"/>
    <w:qFormat/>
    <w:rPr>
      <w:b/>
      <w:i/>
      <w:color w:val="60A0B0"/>
    </w:rPr>
  </w:style>
  <w:style w:type="character" w:styleId="WarningTok" w:customStyle="1">
    <w:name w:val="WarningTok"/>
    <w:basedOn w:val="VerbatimChar"/>
    <w:qFormat/>
    <w:rPr>
      <w:b/>
      <w:i/>
      <w:color w:val="60A0B0"/>
    </w:rPr>
  </w:style>
  <w:style w:type="character" w:styleId="AlertTok" w:customStyle="1">
    <w:name w:val="AlertTok"/>
    <w:basedOn w:val="VerbatimChar"/>
    <w:qFormat/>
    <w:rPr>
      <w:b/>
      <w:color w:val="FF0000"/>
    </w:rPr>
  </w:style>
  <w:style w:type="character" w:styleId="ErrorTok" w:customStyle="1">
    <w:name w:val="ErrorTok"/>
    <w:basedOn w:val="VerbatimChar"/>
    <w:qFormat/>
    <w:rPr>
      <w:b/>
      <w:color w:val="FF0000"/>
    </w:rPr>
  </w:style>
  <w:style w:type="character" w:styleId="NormalTok" w:customStyle="1">
    <w:name w:val="NormalTok"/>
    <w:basedOn w:val="VerbatimChar"/>
    <w:qFormat/>
    <w:rPr/>
  </w:style>
  <w:style w:type="character" w:styleId="IndexLink">
    <w:name w:val="Index Link"/>
    <w:qFormat/>
    <w:rPr/>
  </w:style>
  <w:style w:type="character" w:styleId="EndnoteReference">
    <w:name w:val="Endnote Reference"/>
    <w:rPr>
      <w:vertAlign w:val="superscript"/>
    </w:rPr>
  </w:style>
  <w:style w:type="character" w:styleId="EndnoteCharacters">
    <w:name w:val="Endnote Characters"/>
    <w:qFormat/>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link w:val="BodyTextChar"/>
    <w:qFormat/>
    <w:pPr>
      <w:spacing w:lineRule="auto" w:line="252" w:before="0" w:after="60"/>
    </w:pPr>
    <w:rPr>
      <w:rFonts w:ascii="Arial" w:hAnsi="Arial" w:eastAsia="Arial" w:cs="Arial"/>
      <w:color w:val="000000"/>
      <w:sz w:val="24"/>
      <w:szCs w:val="24"/>
    </w:rPr>
  </w:style>
  <w:style w:type="paragraph" w:styleId="List">
    <w:name w:val="List"/>
    <w:basedOn w:val="BodyText"/>
    <w:pPr/>
    <w:rPr>
      <w:rFonts w:cs="FreeSans"/>
    </w:rPr>
  </w:style>
  <w:style w:type="paragraph" w:styleId="Caption">
    <w:name w:val="Caption"/>
    <w:basedOn w:val="Normal"/>
    <w:link w:val="BodyTextChar"/>
    <w:qFormat/>
    <w:pPr>
      <w:spacing w:before="0" w:after="120"/>
    </w:pPr>
    <w:rPr>
      <w:i/>
    </w:rPr>
  </w:style>
  <w:style w:type="paragraph" w:styleId="Index">
    <w:name w:val="Index"/>
    <w:basedOn w:val="Normal"/>
    <w:qFormat/>
    <w:pPr>
      <w:suppressLineNumbers/>
    </w:pPr>
    <w:rPr>
      <w:rFonts w:cs="FreeSans"/>
    </w:rPr>
  </w:style>
  <w:style w:type="paragraph" w:styleId="FirstParagraph" w:customStyle="1">
    <w:name w:val="First Paragraph"/>
    <w:basedOn w:val="BodyText"/>
    <w:next w:val="BodyText"/>
    <w:qFormat/>
    <w:pPr/>
    <w:rPr/>
  </w:style>
  <w:style w:type="paragraph" w:styleId="Compact" w:customStyle="1">
    <w:name w:val="Compact"/>
    <w:basedOn w:val="BodyText"/>
    <w:qFormat/>
    <w:pPr>
      <w:spacing w:lineRule="auto" w:line="252" w:before="0" w:after="60"/>
    </w:pPr>
    <w:rPr>
      <w:rFonts w:ascii="Arial" w:hAnsi="Arial" w:eastAsia="Arial" w:cs="Arial"/>
      <w:color w:val="000000"/>
      <w:sz w:val="24"/>
      <w:szCs w:val="24"/>
    </w:rPr>
  </w:style>
  <w:style w:type="paragraph" w:styleId="Title">
    <w:name w:val="Title"/>
    <w:basedOn w:val="Normal"/>
    <w:next w:val="BodyText"/>
    <w:qFormat/>
    <w:pPr>
      <w:keepNext w:val="true"/>
      <w:keepLines/>
      <w:spacing w:before="480" w:after="240"/>
      <w:jc w:val="center"/>
    </w:pPr>
    <w:rPr>
      <w:rFonts w:ascii="Arial" w:hAnsi="Arial" w:eastAsia="Arial" w:cs="Arial"/>
      <w:b/>
      <w:bCs/>
      <w:color w:val="000000"/>
      <w:sz w:val="36"/>
      <w:szCs w:val="36"/>
    </w:rPr>
  </w:style>
  <w:style w:type="paragraph" w:styleId="Subtitle">
    <w:name w:val="Subtitle"/>
    <w:basedOn w:val="Title"/>
    <w:next w:val="BodyText"/>
    <w:qFormat/>
    <w:pPr>
      <w:keepNext w:val="true"/>
      <w:keepLines/>
      <w:spacing w:before="240" w:after="240"/>
      <w:jc w:val="center"/>
    </w:pPr>
    <w:rPr>
      <w:rFonts w:ascii="Arial" w:hAnsi="Arial" w:eastAsia="Arial" w:cs="Arial"/>
      <w:b/>
      <w:bCs/>
      <w:color w:val="000000"/>
      <w:sz w:val="30"/>
      <w:szCs w:val="30"/>
    </w:rPr>
  </w:style>
  <w:style w:type="paragraph" w:styleId="Author" w:customStyle="1">
    <w:name w:val="Author"/>
    <w:next w:val="BodyText"/>
    <w:qFormat/>
    <w:pPr>
      <w:keepNext w:val="true"/>
      <w:keepLines/>
      <w:widowControl/>
      <w:bidi w:val="0"/>
      <w:spacing w:before="0" w:after="200"/>
      <w:jc w:val="center"/>
    </w:pPr>
    <w:rPr>
      <w:rFonts w:ascii="Arial" w:hAnsi="Arial" w:eastAsia="Arial" w:cs="" w:asciiTheme="minorHAnsi" w:cstheme="minorBidi" w:eastAsiaTheme="minorHAnsi" w:hAnsiTheme="minorHAnsi"/>
      <w:color w:val="auto"/>
      <w:kern w:val="0"/>
      <w:sz w:val="24"/>
      <w:szCs w:val="24"/>
      <w:lang w:val="en-US" w:eastAsia="en-US" w:bidi="ar-SA"/>
    </w:rPr>
  </w:style>
  <w:style w:type="paragraph" w:styleId="Date">
    <w:name w:val="Date"/>
    <w:next w:val="BodyText"/>
    <w:qFormat/>
    <w:pPr>
      <w:keepNext w:val="true"/>
      <w:keepLines/>
      <w:widowControl/>
      <w:bidi w:val="0"/>
      <w:spacing w:before="0" w:after="200"/>
      <w:jc w:val="center"/>
    </w:pPr>
    <w:rPr>
      <w:rFonts w:ascii="Arial" w:hAnsi="Arial" w:eastAsia="Arial" w:cs="" w:asciiTheme="minorHAnsi" w:cstheme="minorBidi" w:eastAsiaTheme="minorHAnsi" w:hAnsiTheme="minorHAnsi"/>
      <w:color w:val="auto"/>
      <w:kern w:val="0"/>
      <w:sz w:val="24"/>
      <w:szCs w:val="24"/>
      <w:lang w:val="en-US" w:eastAsia="en-US" w:bidi="ar-SA"/>
    </w:rPr>
  </w:style>
  <w:style w:type="paragraph" w:styleId="AbstractTitle" w:customStyle="1">
    <w:name w:val="Abstract Title"/>
    <w:basedOn w:val="Normal"/>
    <w:next w:val="Abstract"/>
    <w:qFormat/>
    <w:pPr>
      <w:keepNext w:val="true"/>
      <w:keepLines/>
      <w:spacing w:before="300" w:after="0"/>
      <w:jc w:val="center"/>
    </w:pPr>
    <w:rPr>
      <w:b/>
      <w:color w:val="345A8A"/>
      <w:sz w:val="20"/>
      <w:szCs w:val="20"/>
    </w:rPr>
  </w:style>
  <w:style w:type="paragraph" w:styleId="Abstract" w:customStyle="1">
    <w:name w:val="Abstract"/>
    <w:basedOn w:val="Normal"/>
    <w:next w:val="BodyText"/>
    <w:qFormat/>
    <w:pPr>
      <w:keepNext w:val="true"/>
      <w:keepLines/>
      <w:spacing w:before="100" w:after="300"/>
    </w:pPr>
    <w:rPr>
      <w:sz w:val="20"/>
      <w:szCs w:val="20"/>
    </w:rPr>
  </w:style>
  <w:style w:type="paragraph" w:styleId="Bibliography">
    <w:name w:val="Bibliography"/>
    <w:basedOn w:val="Normal"/>
    <w:qFormat/>
    <w:pPr/>
    <w:rPr/>
  </w:style>
  <w:style w:type="paragraph" w:styleId="BlockText">
    <w:name w:val="Block Text"/>
    <w:basedOn w:val="BodyText"/>
    <w:next w:val="BodyText"/>
    <w:uiPriority w:val="9"/>
    <w:unhideWhenUsed/>
    <w:qFormat/>
    <w:pPr>
      <w:spacing w:lineRule="auto" w:line="252" w:before="0" w:after="60"/>
      <w:ind w:hanging="0" w:left="480" w:right="480"/>
    </w:pPr>
    <w:rPr>
      <w:rFonts w:ascii="Arial" w:hAnsi="Arial" w:eastAsia="Arial" w:cs="Arial"/>
      <w:i/>
      <w:iCs/>
      <w:color w:val="000000"/>
      <w:sz w:val="24"/>
      <w:szCs w:val="24"/>
    </w:rPr>
  </w:style>
  <w:style w:type="paragraph" w:styleId="FootnoteText">
    <w:name w:val="Footnote Text"/>
    <w:basedOn w:val="Normal"/>
    <w:uiPriority w:val="9"/>
    <w:unhideWhenUsed/>
    <w:qFormat/>
    <w:pPr>
      <w:spacing w:lineRule="auto" w:line="240" w:before="0" w:after="0"/>
    </w:pPr>
    <w:rPr>
      <w:rFonts w:ascii="Arial" w:hAnsi="Arial" w:eastAsia="Arial" w:cs="Arial"/>
      <w:color w:val="000000"/>
      <w:sz w:val="20"/>
      <w:szCs w:val="20"/>
    </w:rPr>
  </w:style>
  <w:style w:type="paragraph" w:styleId="DefinitionTerm" w:customStyle="1">
    <w:name w:val="Definition Term"/>
    <w:basedOn w:val="Normal"/>
    <w:next w:val="Definition"/>
    <w:qFormat/>
    <w:pPr>
      <w:keepNext w:val="true"/>
      <w:keepLines/>
      <w:spacing w:before="0" w:after="0"/>
    </w:pPr>
    <w:rPr>
      <w:b/>
    </w:rPr>
  </w:style>
  <w:style w:type="paragraph" w:styleId="Definition" w:customStyle="1">
    <w:name w:val="Definition"/>
    <w:basedOn w:val="Normal"/>
    <w:qFormat/>
    <w:pPr/>
    <w:rPr/>
  </w:style>
  <w:style w:type="paragraph" w:styleId="TableCaption" w:customStyle="1">
    <w:name w:val="Table Caption"/>
    <w:basedOn w:val="Caption"/>
    <w:qFormat/>
    <w:pPr>
      <w:keepNext w:val="true"/>
    </w:pPr>
    <w:rPr/>
  </w:style>
  <w:style w:type="paragraph" w:styleId="ImageCaption" w:customStyle="1">
    <w:name w:val="Image Caption"/>
    <w:basedOn w:val="Caption"/>
    <w:qFormat/>
    <w:pPr/>
    <w:rPr/>
  </w:style>
  <w:style w:type="paragraph" w:styleId="Figure" w:customStyle="1">
    <w:name w:val="Figure"/>
    <w:basedOn w:val="Normal"/>
    <w:qFormat/>
    <w:pPr/>
    <w:rPr/>
  </w:style>
  <w:style w:type="paragraph" w:styleId="CaptionedFigure" w:customStyle="1">
    <w:name w:val="Captioned Figure"/>
    <w:basedOn w:val="Figure"/>
    <w:qFormat/>
    <w:pPr>
      <w:keepNext w:val="true"/>
    </w:pPr>
    <w:rPr/>
  </w:style>
  <w:style w:type="paragraph" w:styleId="IndexHeading">
    <w:name w:val="Index Heading"/>
    <w:basedOn w:val="Heading"/>
    <w:pPr/>
    <w:rPr/>
  </w:style>
  <w:style w:type="paragraph" w:styleId="TOCHeading">
    <w:name w:val="TOC Heading"/>
    <w:basedOn w:val="Heading1"/>
    <w:next w:val="BodyText"/>
    <w:uiPriority w:val="39"/>
    <w:unhideWhenUsed/>
    <w:qFormat/>
    <w:pPr>
      <w:spacing w:lineRule="auto" w:line="259" w:before="240" w:after="120"/>
      <w:outlineLvl w:val="9"/>
    </w:pPr>
    <w:rPr>
      <w:rFonts w:ascii="Arial" w:hAnsi="Arial" w:eastAsia="Arial" w:cs="Arial"/>
      <w:b/>
      <w:bCs/>
      <w:color w:val="000000"/>
      <w:sz w:val="28"/>
      <w:szCs w:val="28"/>
    </w:rPr>
  </w:style>
  <w:style w:type="paragraph" w:styleId="SourceCode" w:customStyle="1">
    <w:name w:val="Source Code"/>
    <w:basedOn w:val="Normal"/>
    <w:link w:val="VerbatimChar"/>
    <w:qFormat/>
    <w:pPr/>
    <w:rPr/>
  </w:style>
  <w:style w:type="paragraph" w:styleId="TOC1">
    <w:name w:val="TOC 1"/>
    <w:basedOn w:val="Index"/>
    <w:pPr>
      <w:tabs>
        <w:tab w:val="clear" w:pos="720"/>
        <w:tab w:val="right" w:pos="9360" w:leader="dot"/>
      </w:tabs>
      <w:ind w:hanging="0" w:left="0"/>
    </w:pPr>
    <w:rPr/>
  </w:style>
  <w:style w:type="paragraph" w:styleId="TOC2">
    <w:name w:val="TOC 2"/>
    <w:basedOn w:val="Index"/>
    <w:pPr>
      <w:tabs>
        <w:tab w:val="clear" w:pos="720"/>
        <w:tab w:val="right" w:pos="9077" w:leader="dot"/>
      </w:tabs>
      <w:ind w:hanging="0" w:left="283"/>
    </w:pPr>
    <w:rPr/>
  </w:style>
  <w:style w:type="table" w:default="1" w:styleId="Table">
    <w:name w:val="Table"/>
    <w:basedOn w:val="TableNormal"/>
    <w:semiHidden/>
    <w:unhideWhenUsed/>
    <w:qFormat/>
    <w:tblPr>
      <w:tblCellMar>
        <w:top w:w="0" w:type="dxa"/>
        <w:left w:w="108" w:type="dxa"/>
        <w:bottom w:w="0" w:type="dxa"/>
        <w:right w:w="108" w:type="dxa"/>
      </w:tblCellMar>
    </w:tblPr>
    <w:tblStylePr w:type="firstRow">
      <w:tblPr/>
      <w:tcPr>
        <w:tcBorders>
          <w:bottom w:val="single"/>
        </w:tcBorders>
        <w:vAlign w:val="bottom"/>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pitchFamily="0" charset="1"/>
        <a:ea typeface=""/>
        <a:cs typeface=""/>
      </a:majorFont>
      <a:minorFont>
        <a:latin typeface="Arial"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6</TotalTime>
  <Application>LibreOffice/24.2.7.2$Linux_X86_64 LibreOffice_project/420$Build-2</Application>
  <AppVersion>15.0000</AppVersion>
  <Pages>29</Pages>
  <Words>12883</Words>
  <Characters>65122</Characters>
  <CharactersWithSpaces>77806</CharactersWithSpaces>
  <Paragraphs>372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2026-09-14T12:02:31Z</dcterms:created>
  <dc:creator/>
  <dc:description/>
  <dc:language>en-US</dc:language>
  <cp:lastModifiedBy/>
  <dcterms:modified xsi:type="dcterms:W3CDTF">2026-09-14T12:02:34Z</dcterms:modified>
  <cp:revision>1</cp:revision>
  <dc:subject/>
  <dc:title>The Shield of Faith</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Understanding, Building, and Using the Shield of Faith — A Deep Study for Church Leadership</vt:lpwstr>
  </property>
</Properties>
</file>