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color w:val="888888"/>
          <w:spacing w:val="200"/>
          <w:sz w:val="18"/>
          <w:szCs w:val="18"/>
        </w:rPr>
        <w:t xml:space="preserve">TEACHING NOTES &amp; SEMINAR OUTLINES</w:t>
      </w:r>
    </w:p>
    <w:p>
      <w:pPr>
        <w:spacing w:after="200" w:before="0"/>
        <w:jc w:val="center"/>
      </w:pPr>
      <w:r>
        <w:rPr>
          <w:rFonts w:ascii="Georgia" w:cs="Georgia" w:eastAsia="Georgia" w:hAnsi="Georgia"/>
          <w:b/>
          <w:bCs/>
          <w:color w:val="1C2B3A"/>
          <w:sz w:val="52"/>
          <w:szCs w:val="52"/>
        </w:rPr>
        <w:t xml:space="preserve">Henri Nouwen: The Minister as Wounded Healer</w:t>
      </w:r>
    </w:p>
    <w:p>
      <w:pPr>
        <w:spacing w:after="400" w:before="0"/>
        <w:jc w:val="center"/>
      </w:pPr>
      <w:r>
        <w:rPr>
          <w:rFonts w:ascii="Georgia" w:cs="Georgia" w:eastAsia="Georgia" w:hAnsi="Georgia"/>
          <w:i/>
          <w:iCs/>
          <w:color w:val="555555"/>
          <w:sz w:val="26"/>
          <w:szCs w:val="26"/>
        </w:rPr>
        <w:t xml:space="preserve">Three One-Hour Seminars for Pastors and Ministry Leaders</w:t>
      </w:r>
    </w:p>
    <w:p>
      <w:pPr>
        <w:pBdr>
          <w:bottom w:val="single" w:color="1C2B3A" w:sz="6" w:space="1"/>
        </w:pBdr>
        <w:spacing w:after="240" w:before="0"/>
      </w:pPr>
    </w:p>
    <w:p>
      <w:pPr>
        <w:pStyle w:val="Heading2"/>
      </w:pPr>
      <w:r>
        <w:rPr>
          <w:rFonts w:ascii="Arial" w:cs="Arial" w:eastAsia="Arial" w:hAnsi="Arial"/>
          <w:b/>
          <w:bCs/>
          <w:color w:val="1C2B3A"/>
          <w:sz w:val="28"/>
          <w:szCs w:val="28"/>
        </w:rPr>
        <w:t xml:space="preserve">General Teaching Notes for the Facilitator</w:t>
      </w:r>
    </w:p>
    <w:p>
      <w:pPr>
        <w:spacing w:after="140" w:before="0"/>
        <w:jc w:val="both"/>
      </w:pPr>
      <w:r>
        <w:rPr>
          <w:rFonts w:ascii="Garamond" w:cs="Garamond" w:eastAsia="Garamond" w:hAnsi="Garamond"/>
          <w:color w:val="222222"/>
          <w:sz w:val="23"/>
          <w:szCs w:val="23"/>
        </w:rPr>
        <w:t xml:space="preserve">These seminars are designed for an audience of experienced ministry practitioners — pastors, church leaders, and non-profit directors. They are not primarily academic; they are reflective and formative. The goal is not to deliver information about Nouwen but to create an encounter with his ideas that is personally challenging and pastorally transformative.</w:t>
      </w:r>
    </w:p>
    <w:p>
      <w:pPr>
        <w:spacing w:after="140" w:before="0"/>
        <w:jc w:val="both"/>
      </w:pPr>
      <w:r>
        <w:rPr>
          <w:rFonts w:ascii="Garamond" w:cs="Garamond" w:eastAsia="Garamond" w:hAnsi="Garamond"/>
          <w:color w:val="222222"/>
          <w:sz w:val="23"/>
          <w:szCs w:val="23"/>
        </w:rPr>
        <w:t xml:space="preserve">Nouwen himself never separated the personal from the pastoral. Your own willingness to be honest — to share briefly from your own experience of woundedness, healing, or interior struggle — will set the tone. If you present Nouwen with polished professionalism and no vulnerability, you will be teaching about the wounded healer while modeling the opposite.</w:t>
      </w:r>
    </w:p>
    <w:p>
      <w:pPr>
        <w:pStyle w:val="Heading3"/>
      </w:pPr>
      <w:r>
        <w:rPr>
          <w:rFonts w:ascii="Arial" w:cs="Arial" w:eastAsia="Arial" w:hAnsi="Arial"/>
          <w:b/>
          <w:bCs/>
          <w:color w:val="555555"/>
          <w:sz w:val="24"/>
          <w:szCs w:val="24"/>
        </w:rPr>
        <w:t xml:space="preserve">Pedagogical Approach</w:t>
      </w:r>
    </w:p>
    <w:p>
      <w:pPr>
        <w:pStyle w:val="ListParagraph"/>
        <w:numPr>
          <w:ilvl w:val="0"/>
          <w:numId w:val="2"/>
        </w:numPr>
        <w:spacing w:after="60" w:before="60"/>
      </w:pPr>
      <w:r>
        <w:rPr>
          <w:rFonts w:ascii="Arial" w:cs="Arial" w:eastAsia="Arial" w:hAnsi="Arial"/>
          <w:color w:val="333333"/>
          <w:sz w:val="22"/>
          <w:szCs w:val="22"/>
        </w:rPr>
        <w:t xml:space="preserve">Begin each session with 2–3 minutes of silence. This is itself a Nouwen practice and will signal that this is a different kind of gathering.</w:t>
      </w:r>
    </w:p>
    <w:p>
      <w:pPr>
        <w:pStyle w:val="ListParagraph"/>
        <w:numPr>
          <w:ilvl w:val="0"/>
          <w:numId w:val="2"/>
        </w:numPr>
        <w:spacing w:after="60" w:before="60"/>
      </w:pPr>
      <w:r>
        <w:rPr>
          <w:rFonts w:ascii="Arial" w:cs="Arial" w:eastAsia="Arial" w:hAnsi="Arial"/>
          <w:color w:val="333333"/>
          <w:sz w:val="22"/>
          <w:szCs w:val="22"/>
        </w:rPr>
        <w:t xml:space="preserve">Read the key Nouwen quotes aloud, slowly. Invite participants to sit with them rather than immediately analyzing them.</w:t>
      </w:r>
    </w:p>
    <w:p>
      <w:pPr>
        <w:pStyle w:val="ListParagraph"/>
        <w:numPr>
          <w:ilvl w:val="0"/>
          <w:numId w:val="2"/>
        </w:numPr>
        <w:spacing w:after="60" w:before="60"/>
      </w:pPr>
      <w:r>
        <w:rPr>
          <w:rFonts w:ascii="Arial" w:cs="Arial" w:eastAsia="Arial" w:hAnsi="Arial"/>
          <w:color w:val="333333"/>
          <w:sz w:val="22"/>
          <w:szCs w:val="22"/>
        </w:rPr>
        <w:t xml:space="preserve">Use discussion questions to open space — not to generate correct answers. If the group is quiet, that is productive.</w:t>
      </w:r>
    </w:p>
    <w:p>
      <w:pPr>
        <w:pStyle w:val="ListParagraph"/>
        <w:numPr>
          <w:ilvl w:val="0"/>
          <w:numId w:val="2"/>
        </w:numPr>
        <w:spacing w:after="60" w:before="60"/>
      </w:pPr>
      <w:r>
        <w:rPr>
          <w:rFonts w:ascii="Arial" w:cs="Arial" w:eastAsia="Arial" w:hAnsi="Arial"/>
          <w:color w:val="333333"/>
          <w:sz w:val="22"/>
          <w:szCs w:val="22"/>
        </w:rPr>
        <w:t xml:space="preserve">Between sessions (if spread across multiple days), invite participants to journal on a single question.</w:t>
      </w:r>
    </w:p>
    <w:p>
      <w:pPr>
        <w:pStyle w:val="ListParagraph"/>
        <w:numPr>
          <w:ilvl w:val="0"/>
          <w:numId w:val="2"/>
        </w:numPr>
        <w:spacing w:after="60" w:before="60"/>
      </w:pPr>
      <w:r>
        <w:rPr>
          <w:rFonts w:ascii="Arial" w:cs="Arial" w:eastAsia="Arial" w:hAnsi="Arial"/>
          <w:color w:val="333333"/>
          <w:sz w:val="22"/>
          <w:szCs w:val="22"/>
        </w:rPr>
        <w:t xml:space="preserve">End each session with a brief prayer or a moment of intentional silence.</w:t>
      </w:r>
    </w:p>
    <w:p>
      <w:pPr>
        <w:pStyle w:val="Heading3"/>
      </w:pPr>
      <w:r>
        <w:rPr>
          <w:rFonts w:ascii="Arial" w:cs="Arial" w:eastAsia="Arial" w:hAnsi="Arial"/>
          <w:b/>
          <w:bCs/>
          <w:color w:val="555555"/>
          <w:sz w:val="24"/>
          <w:szCs w:val="24"/>
        </w:rPr>
        <w:t xml:space="preserve">Audience Considerations</w:t>
      </w:r>
    </w:p>
    <w:p>
      <w:pPr>
        <w:pStyle w:val="ListParagraph"/>
        <w:numPr>
          <w:ilvl w:val="0"/>
          <w:numId w:val="2"/>
        </w:numPr>
        <w:spacing w:after="60" w:before="60"/>
      </w:pPr>
      <w:r>
        <w:rPr>
          <w:rFonts w:ascii="Arial" w:cs="Arial" w:eastAsia="Arial" w:hAnsi="Arial"/>
          <w:color w:val="333333"/>
          <w:sz w:val="22"/>
          <w:szCs w:val="22"/>
        </w:rPr>
        <w:t xml:space="preserve">Pastors and church leaders: likely to connect with the Wounded Healer and Reaching Out material. May resist the interior-life emphasis of Hour 3 as a luxury they can’t afford. The L’Arche story is often the turning point.</w:t>
      </w:r>
    </w:p>
    <w:p>
      <w:pPr>
        <w:pStyle w:val="ListParagraph"/>
        <w:numPr>
          <w:ilvl w:val="0"/>
          <w:numId w:val="2"/>
        </w:numPr>
        <w:spacing w:after="60" w:before="60"/>
      </w:pPr>
      <w:r>
        <w:rPr>
          <w:rFonts w:ascii="Arial" w:cs="Arial" w:eastAsia="Arial" w:hAnsi="Arial"/>
          <w:color w:val="333333"/>
          <w:sz w:val="22"/>
          <w:szCs w:val="22"/>
        </w:rPr>
        <w:t xml:space="preserve">Non-profit leaders: the compassion and hospitality framework (Hour 2) often resonates most strongly. May need help connecting institutional leadership to personal spiritual formation.</w:t>
      </w:r>
    </w:p>
    <w:p>
      <w:pPr>
        <w:pStyle w:val="ListParagraph"/>
        <w:numPr>
          <w:ilvl w:val="0"/>
          <w:numId w:val="2"/>
        </w:numPr>
        <w:spacing w:after="60" w:before="60"/>
      </w:pPr>
      <w:r>
        <w:rPr>
          <w:rFonts w:ascii="Arial" w:cs="Arial" w:eastAsia="Arial" w:hAnsi="Arial"/>
          <w:color w:val="333333"/>
          <w:sz w:val="22"/>
          <w:szCs w:val="22"/>
        </w:rPr>
        <w:t xml:space="preserve">Both groups: may initially resist vulnerability as a leadership quality. Nouwen’s own story (the breakdown, the L’Arche move) tends to disarm this resistance.</w:t>
      </w:r>
    </w:p>
    <w:p>
      <w:pPr>
        <w:spacing w:after="200" w:before="0"/>
      </w:pPr>
    </w:p>
    <w:p>
      <w:pPr>
        <w:pBdr>
          <w:bottom w:val="single" w:color="CCCCCC" w:sz="6" w:space="1"/>
        </w:pBdr>
        <w:spacing w:after="240" w:before="0"/>
      </w:pPr>
    </w:p>
    <w:p>
      <w:pPr>
        <w:spacing w:after="80" w:before="400"/>
      </w:pPr>
      <w:r>
        <w:rPr>
          <w:color w:val="7B1A1A"/>
          <w:spacing w:val="200"/>
          <w:sz w:val="20"/>
          <w:szCs w:val="20"/>
        </w:rPr>
        <w:t xml:space="preserve">SEMINAR ONE</w:t>
      </w:r>
    </w:p>
    <w:p>
      <w:pPr>
        <w:spacing w:after="280" w:before="0"/>
      </w:pPr>
      <w:r>
        <w:rPr>
          <w:rFonts w:ascii="Georgia" w:cs="Georgia" w:eastAsia="Georgia" w:hAnsi="Georgia"/>
          <w:b/>
          <w:bCs/>
          <w:color w:val="7B1A1A"/>
          <w:sz w:val="44"/>
          <w:szCs w:val="44"/>
        </w:rPr>
        <w:t xml:space="preserve">The Wounds:
Recognizing and Receiving Our Brokenness</w:t>
      </w:r>
    </w:p>
    <w:p>
      <w:pPr>
        <w:pStyle w:val="Heading3"/>
      </w:pPr>
      <w:r>
        <w:rPr>
          <w:rFonts w:ascii="Arial" w:cs="Arial" w:eastAsia="Arial" w:hAnsi="Arial"/>
          <w:b/>
          <w:bCs/>
          <w:color w:val="555555"/>
          <w:sz w:val="24"/>
          <w:szCs w:val="24"/>
        </w:rPr>
        <w:t xml:space="preserve">Learning Objectives</w:t>
      </w:r>
    </w:p>
    <w:p>
      <w:pPr>
        <w:pStyle w:val="ListParagraph"/>
        <w:numPr>
          <w:ilvl w:val="0"/>
          <w:numId w:val="2"/>
        </w:numPr>
        <w:spacing w:after="60" w:before="60"/>
      </w:pPr>
      <w:r>
        <w:rPr>
          <w:rFonts w:ascii="Arial" w:cs="Arial" w:eastAsia="Arial" w:hAnsi="Arial"/>
          <w:color w:val="333333"/>
          <w:sz w:val="22"/>
          <w:szCs w:val="22"/>
        </w:rPr>
        <w:t xml:space="preserve">Participants will be able to articulate Nouwen’s central argument about woundedness as a ministerial resource.</w:t>
      </w:r>
    </w:p>
    <w:p>
      <w:pPr>
        <w:pStyle w:val="ListParagraph"/>
        <w:numPr>
          <w:ilvl w:val="0"/>
          <w:numId w:val="2"/>
        </w:numPr>
        <w:spacing w:after="60" w:before="60"/>
      </w:pPr>
      <w:r>
        <w:rPr>
          <w:rFonts w:ascii="Arial" w:cs="Arial" w:eastAsia="Arial" w:hAnsi="Arial"/>
          <w:color w:val="333333"/>
          <w:sz w:val="22"/>
          <w:szCs w:val="22"/>
        </w:rPr>
        <w:t xml:space="preserve">Participants will identify the two failure modes (denial and immersion) and assess their own tendencies.</w:t>
      </w:r>
    </w:p>
    <w:p>
      <w:pPr>
        <w:pStyle w:val="ListParagraph"/>
        <w:numPr>
          <w:ilvl w:val="0"/>
          <w:numId w:val="2"/>
        </w:numPr>
        <w:spacing w:after="60" w:before="60"/>
      </w:pPr>
      <w:r>
        <w:rPr>
          <w:rFonts w:ascii="Arial" w:cs="Arial" w:eastAsia="Arial" w:hAnsi="Arial"/>
          <w:color w:val="333333"/>
          <w:sz w:val="22"/>
          <w:szCs w:val="22"/>
        </w:rPr>
        <w:t xml:space="preserve">Participants will begin to examine their own woundedness with honesty and without shame.</w:t>
      </w:r>
    </w:p>
    <w:p>
      <w:pPr>
        <w:spacing w:after="200" w:before="0"/>
      </w:pPr>
    </w:p>
    <w:p>
      <w:pPr>
        <w:pStyle w:val="Heading3"/>
      </w:pPr>
      <w:r>
        <w:rPr>
          <w:rFonts w:ascii="Arial" w:cs="Arial" w:eastAsia="Arial" w:hAnsi="Arial"/>
          <w:b/>
          <w:bCs/>
          <w:color w:val="555555"/>
          <w:sz w:val="24"/>
          <w:szCs w:val="24"/>
        </w:rPr>
        <w:t xml:space="preserve">Session Outline — 60 Minutes</w:t>
      </w:r>
    </w:p>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0:00–0:05</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Opening Silence</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2 minutes of silence. Invite participants to arrive fully.</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0:05–0:15</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Introduction: The Messianic Image</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Read the Talmudic story of the Messiah at the gates of Rome. Ask: What strikes you about this image? Brief large-group response.</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0:15–0:30</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Presentation: Nouwen’s Argument</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Present the three main ideas: (1) The cultural context — who is the minister serving? (2) The wounded physician across traditions. (3) The two dangers: denial and immersion.</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0:30–0:45</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Small Group Discussion</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Groups of 3–4. Use Discussion Questions 1 and 2 below. Facilitator circulates.</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0:45–0:55</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Large Group Debrief</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Gather key themes. Note: Don’t force resolution. Honest tension is productive.</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0:55–1:00</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Closing Reflection</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Read the closing quote. Assign journal prompt. Silence and prayer.</w:t>
            </w:r>
          </w:p>
        </w:tc>
      </w:tr>
    </w:tbl>
    <w:p>
      <w:pPr>
        <w:spacing w:after="200" w:before="0"/>
      </w:pPr>
    </w:p>
    <w:p>
      <w:pPr>
        <w:pStyle w:val="Heading3"/>
      </w:pPr>
      <w:r>
        <w:rPr>
          <w:rFonts w:ascii="Arial" w:cs="Arial" w:eastAsia="Arial" w:hAnsi="Arial"/>
          <w:b/>
          <w:bCs/>
          <w:color w:val="555555"/>
          <w:sz w:val="24"/>
          <w:szCs w:val="24"/>
        </w:rPr>
        <w:t xml:space="preserve">Key Content Points</w:t>
      </w:r>
    </w:p>
    <w:p>
      <w:pPr>
        <w:spacing w:after="140" w:before="0"/>
        <w:jc w:val="both"/>
      </w:pPr>
      <w:r>
        <w:rPr>
          <w:rFonts w:ascii="Garamond" w:cs="Garamond" w:eastAsia="Garamond" w:hAnsi="Garamond"/>
          <w:color w:val="222222"/>
          <w:sz w:val="23"/>
          <w:szCs w:val="23"/>
        </w:rPr>
        <w:t xml:space="preserve">Point 1: Nouwen’s diagnosis of the modern minister’s context. He wrote The Wounded Healer in 1972, but his description of a ‘fatherless generation’ — rootless, suspicious of authority, longing for authentic human contact — is more applicable today than when he wrote it. The minister who ignores the cultural context of their congregation will speak to a world that no longer exists.</w:t>
      </w:r>
    </w:p>
    <w:p>
      <w:pPr>
        <w:spacing w:after="140" w:before="0"/>
        <w:jc w:val="both"/>
      </w:pPr>
      <w:r>
        <w:rPr>
          <w:rFonts w:ascii="Garamond" w:cs="Garamond" w:eastAsia="Garamond" w:hAnsi="Garamond"/>
          <w:color w:val="222222"/>
          <w:sz w:val="23"/>
          <w:szCs w:val="23"/>
        </w:rPr>
        <w:t xml:space="preserve">Point 2: The central image of the Messiah-healer. Unlike others who also carry wounds, the Messiah unties and reties his bandages one at a time — he tends his wounds consciously, in a way that does not prevent him from responding to others. This is the posture Nouwen calls for: not the absence of wounds, but a conscious and disciplined relationship with them.</w:t>
      </w:r>
    </w:p>
    <w:p>
      <w:pPr>
        <w:spacing w:after="140" w:before="0"/>
        <w:jc w:val="both"/>
      </w:pPr>
      <w:r>
        <w:rPr>
          <w:rFonts w:ascii="Garamond" w:cs="Garamond" w:eastAsia="Garamond" w:hAnsi="Garamond"/>
          <w:color w:val="222222"/>
          <w:sz w:val="23"/>
          <w:szCs w:val="23"/>
        </w:rPr>
        <w:t xml:space="preserve">Point 3: The two failure modes. Denial produces professional ministers who have lost their humanity. Immersion produces ministers who have lost their center. Both produce harm. The middle path — conscious, disciplined awareness of one’s own woundedness in the service of others — is the art Nouwen teaches.</w:t>
      </w:r>
    </w:p>
    <w:p>
      <w:pPr>
        <w:pBdr>
          <w:left w:val="single" w:color="8B1A1A" w:sz="14" w:space="6"/>
        </w:pBdr>
        <w:spacing w:after="60" w:before="140"/>
        <w:ind w:left="720" w:right="360"/>
      </w:pPr>
      <w:r>
        <w:rPr>
          <w:rFonts w:ascii="Georgia" w:cs="Georgia" w:eastAsia="Georgia" w:hAnsi="Georgia"/>
          <w:i/>
          <w:iCs/>
          <w:color w:val="444444"/>
          <w:sz w:val="22"/>
          <w:szCs w:val="22"/>
        </w:rPr>
        <w:t xml:space="preserve">“The minister is called to recognize the sufferings of his time in his own heart and make that recognition the starting point of his service.”</w:t>
      </w:r>
    </w:p>
    <w:p>
      <w:pPr>
        <w:spacing w:after="180" w:before="0"/>
        <w:ind w:left="720"/>
      </w:pPr>
      <w:r>
        <w:rPr>
          <w:i/>
          <w:iCs/>
          <w:color w:val="888888"/>
          <w:sz w:val="18"/>
          <w:szCs w:val="18"/>
        </w:rPr>
        <w:t xml:space="preserve">— The Wounded Healer</w:t>
      </w:r>
    </w:p>
    <w:p>
      <w:pPr>
        <w:pStyle w:val="Heading3"/>
      </w:pPr>
      <w:r>
        <w:rPr>
          <w:rFonts w:ascii="Arial" w:cs="Arial" w:eastAsia="Arial" w:hAnsi="Arial"/>
          <w:b/>
          <w:bCs/>
          <w:color w:val="555555"/>
          <w:sz w:val="24"/>
          <w:szCs w:val="24"/>
        </w:rPr>
        <w:t xml:space="preserve">Discussion Questions</w:t>
      </w:r>
    </w:p>
    <w:p>
      <w:pPr>
        <w:spacing w:after="80" w:before="80"/>
        <w:ind w:left="360"/>
      </w:pPr>
      <w:r>
        <w:rPr>
          <w:rFonts w:ascii="Arial" w:cs="Arial" w:eastAsia="Arial" w:hAnsi="Arial"/>
          <w:color w:val="1C2B3A"/>
          <w:sz w:val="22"/>
          <w:szCs w:val="22"/>
        </w:rPr>
        <w:t xml:space="preserve">1.  Where do you most recognize yourself in the tension Nouwen describes — between denial and immersion? What does that cost you in ministry?</w:t>
      </w:r>
    </w:p>
    <w:p>
      <w:pPr>
        <w:spacing w:after="80" w:before="80"/>
        <w:ind w:left="360"/>
      </w:pPr>
      <w:r>
        <w:rPr>
          <w:rFonts w:ascii="Arial" w:cs="Arial" w:eastAsia="Arial" w:hAnsi="Arial"/>
          <w:color w:val="1C2B3A"/>
          <w:sz w:val="22"/>
          <w:szCs w:val="22"/>
        </w:rPr>
        <w:t xml:space="preserve">2.  Think of a minister who has powerfully influenced your own faith. Was their wound visible in any way? How did it function in their ministry?</w:t>
      </w:r>
    </w:p>
    <w:p>
      <w:pPr>
        <w:spacing w:after="160" w:before="80"/>
        <w:ind w:left="360"/>
      </w:pPr>
      <w:r>
        <w:rPr>
          <w:rFonts w:ascii="Arial" w:cs="Arial" w:eastAsia="Arial" w:hAnsi="Arial"/>
          <w:color w:val="1C2B3A"/>
          <w:sz w:val="22"/>
          <w:szCs w:val="22"/>
        </w:rPr>
        <w:t xml:space="preserve">3.  What wound in your own life do you find hardest to acknowledge in the context of your ministry role?</w:t>
      </w:r>
    </w:p>
    <w:p>
      <w:pPr>
        <w:pBdr>
          <w:left w:val="single" w:color="B5722A" w:sz="16" w:space="6"/>
        </w:pBdr>
        <w:spacing w:after="80" w:before="120"/>
        <w:ind w:left="360"/>
      </w:pPr>
      <w:r>
        <w:rPr>
          <w:rFonts w:ascii="Arial" w:cs="Arial" w:eastAsia="Arial" w:hAnsi="Arial"/>
          <w:b/>
          <w:bCs/>
          <w:color w:val="6B4226"/>
          <w:sz w:val="21"/>
          <w:szCs w:val="21"/>
        </w:rPr>
        <w:t xml:space="preserve">📌 TEACHING NOTE: Question 3 is high-risk and high-reward. Read the room. If trust is present, it can open the most important conversation of the seminar. If not, defer to a journal prompt.</w:t>
      </w:r>
    </w:p>
    <w:p>
      <w:pPr>
        <w:pStyle w:val="Heading3"/>
      </w:pPr>
      <w:r>
        <w:rPr>
          <w:rFonts w:ascii="Arial" w:cs="Arial" w:eastAsia="Arial" w:hAnsi="Arial"/>
          <w:b/>
          <w:bCs/>
          <w:color w:val="555555"/>
          <w:sz w:val="24"/>
          <w:szCs w:val="24"/>
        </w:rPr>
        <w:t xml:space="preserve">Key Quotes for Slides / Handout</w:t>
      </w:r>
    </w:p>
    <w:p>
      <w:pPr>
        <w:pBdr>
          <w:left w:val="single" w:color="8B1A1A" w:sz="14" w:space="6"/>
        </w:pBdr>
        <w:spacing w:after="60" w:before="140"/>
        <w:ind w:left="720" w:right="360"/>
      </w:pPr>
      <w:r>
        <w:rPr>
          <w:rFonts w:ascii="Georgia" w:cs="Georgia" w:eastAsia="Georgia" w:hAnsi="Georgia"/>
          <w:i/>
          <w:iCs/>
          <w:color w:val="444444"/>
          <w:sz w:val="22"/>
          <w:szCs w:val="22"/>
        </w:rPr>
        <w:t xml:space="preserve">“Nobody escapes being wounded. We are all wounded people... The main question is not ‘How can we hide our wounds?’ so we don’t have to be embarrassed, but ‘How can we put our woundedness in the service of others?’”</w:t>
      </w:r>
    </w:p>
    <w:p>
      <w:pPr>
        <w:spacing w:after="180" w:before="0"/>
        <w:ind w:left="720"/>
      </w:pPr>
      <w:r>
        <w:rPr>
          <w:i/>
          <w:iCs/>
          <w:color w:val="888888"/>
          <w:sz w:val="18"/>
          <w:szCs w:val="18"/>
        </w:rPr>
        <w:t xml:space="preserve">— The Wounded Healer</w:t>
      </w:r>
    </w:p>
    <w:p>
      <w:pPr>
        <w:pBdr>
          <w:left w:val="single" w:color="8B1A1A" w:sz="14" w:space="6"/>
        </w:pBdr>
        <w:spacing w:after="60" w:before="140"/>
        <w:ind w:left="720" w:right="360"/>
      </w:pPr>
      <w:r>
        <w:rPr>
          <w:rFonts w:ascii="Georgia" w:cs="Georgia" w:eastAsia="Georgia" w:hAnsi="Georgia"/>
          <w:i/>
          <w:iCs/>
          <w:color w:val="444444"/>
          <w:sz w:val="22"/>
          <w:szCs w:val="22"/>
        </w:rPr>
        <w:t xml:space="preserve">“The great illusion of leadership is to think that man can be led out of the desert by someone who has never been there.”</w:t>
      </w:r>
    </w:p>
    <w:p>
      <w:pPr>
        <w:spacing w:after="180" w:before="0"/>
        <w:ind w:left="720"/>
      </w:pPr>
      <w:r>
        <w:rPr>
          <w:i/>
          <w:iCs/>
          <w:color w:val="888888"/>
          <w:sz w:val="18"/>
          <w:szCs w:val="18"/>
        </w:rPr>
        <w:t xml:space="preserve">— The Wounded Healer</w:t>
      </w:r>
    </w:p>
    <w:p>
      <w:pPr>
        <w:pStyle w:val="Heading3"/>
      </w:pPr>
      <w:r>
        <w:rPr>
          <w:rFonts w:ascii="Arial" w:cs="Arial" w:eastAsia="Arial" w:hAnsi="Arial"/>
          <w:b/>
          <w:bCs/>
          <w:color w:val="555555"/>
          <w:sz w:val="24"/>
          <w:szCs w:val="24"/>
        </w:rPr>
        <w:t xml:space="preserve">Journal Prompt (Between Sessions)</w:t>
      </w:r>
    </w:p>
    <w:p>
      <w:pPr>
        <w:spacing w:after="140" w:before="0"/>
        <w:jc w:val="both"/>
      </w:pPr>
      <w:r>
        <w:rPr>
          <w:rFonts w:ascii="Garamond" w:cs="Garamond" w:eastAsia="Garamond" w:hAnsi="Garamond"/>
          <w:color w:val="222222"/>
          <w:sz w:val="23"/>
          <w:szCs w:val="23"/>
        </w:rPr>
        <w:t xml:space="preserve">Reflect on this question privately: What is one wound in my life that I have not yet allowed to become a resource for those I serve? What would it mean to let it do so?</w:t>
      </w:r>
    </w:p>
    <w:p>
      <w:pPr>
        <w:spacing w:after="200" w:before="0"/>
      </w:pPr>
    </w:p>
    <w:p>
      <w:pPr>
        <w:pBdr>
          <w:bottom w:val="single" w:color="7B1A1A" w:sz="6" w:space="1"/>
        </w:pBdr>
        <w:spacing w:after="240" w:before="0"/>
      </w:pPr>
    </w:p>
    <w:p>
      <w:pPr>
        <w:spacing w:after="80" w:before="400"/>
      </w:pPr>
      <w:r>
        <w:rPr>
          <w:color w:val="1E4D20"/>
          <w:spacing w:val="200"/>
          <w:sz w:val="20"/>
          <w:szCs w:val="20"/>
        </w:rPr>
        <w:t xml:space="preserve">SEMINAR TWO</w:t>
      </w:r>
    </w:p>
    <w:p>
      <w:pPr>
        <w:spacing w:after="280" w:before="0"/>
      </w:pPr>
      <w:r>
        <w:rPr>
          <w:rFonts w:ascii="Georgia" w:cs="Georgia" w:eastAsia="Georgia" w:hAnsi="Georgia"/>
          <w:b/>
          <w:bCs/>
          <w:color w:val="1E4D20"/>
          <w:sz w:val="44"/>
          <w:szCs w:val="44"/>
        </w:rPr>
        <w:t xml:space="preserve">The Healing:
Hospitality, Presence, and Compassion</w:t>
      </w:r>
    </w:p>
    <w:p>
      <w:pPr>
        <w:pStyle w:val="Heading3"/>
      </w:pPr>
      <w:r>
        <w:rPr>
          <w:rFonts w:ascii="Arial" w:cs="Arial" w:eastAsia="Arial" w:hAnsi="Arial"/>
          <w:b/>
          <w:bCs/>
          <w:color w:val="555555"/>
          <w:sz w:val="24"/>
          <w:szCs w:val="24"/>
        </w:rPr>
        <w:t xml:space="preserve">Learning Objectives</w:t>
      </w:r>
    </w:p>
    <w:p>
      <w:pPr>
        <w:pStyle w:val="ListParagraph"/>
        <w:numPr>
          <w:ilvl w:val="0"/>
          <w:numId w:val="2"/>
        </w:numPr>
        <w:spacing w:after="60" w:before="60"/>
      </w:pPr>
      <w:r>
        <w:rPr>
          <w:rFonts w:ascii="Arial" w:cs="Arial" w:eastAsia="Arial" w:hAnsi="Arial"/>
          <w:color w:val="333333"/>
          <w:sz w:val="22"/>
          <w:szCs w:val="22"/>
        </w:rPr>
        <w:t xml:space="preserve">Participants will understand and be able to apply Nouwen’s framework of hospitality as healing space.</w:t>
      </w:r>
    </w:p>
    <w:p>
      <w:pPr>
        <w:pStyle w:val="ListParagraph"/>
        <w:numPr>
          <w:ilvl w:val="0"/>
          <w:numId w:val="2"/>
        </w:numPr>
        <w:spacing w:after="60" w:before="60"/>
      </w:pPr>
      <w:r>
        <w:rPr>
          <w:rFonts w:ascii="Arial" w:cs="Arial" w:eastAsia="Arial" w:hAnsi="Arial"/>
          <w:color w:val="333333"/>
          <w:sz w:val="22"/>
          <w:szCs w:val="22"/>
        </w:rPr>
        <w:t xml:space="preserve">Participants will examine the three movements (loneliness→solitude, hostility→hospitality, illusion→prayer) as they apply to their own ministry.</w:t>
      </w:r>
    </w:p>
    <w:p>
      <w:pPr>
        <w:pStyle w:val="ListParagraph"/>
        <w:numPr>
          <w:ilvl w:val="0"/>
          <w:numId w:val="2"/>
        </w:numPr>
        <w:spacing w:after="60" w:before="60"/>
      </w:pPr>
      <w:r>
        <w:rPr>
          <w:rFonts w:ascii="Arial" w:cs="Arial" w:eastAsia="Arial" w:hAnsi="Arial"/>
          <w:color w:val="333333"/>
          <w:sz w:val="22"/>
          <w:szCs w:val="22"/>
        </w:rPr>
        <w:t xml:space="preserve">Participants will distinguish between appropriate vulnerability and inappropriate self-disclosure in ministry.</w:t>
      </w:r>
    </w:p>
    <w:p>
      <w:pPr>
        <w:spacing w:after="200" w:before="0"/>
      </w:pPr>
    </w:p>
    <w:p>
      <w:pPr>
        <w:pStyle w:val="Heading3"/>
      </w:pPr>
      <w:r>
        <w:rPr>
          <w:rFonts w:ascii="Arial" w:cs="Arial" w:eastAsia="Arial" w:hAnsi="Arial"/>
          <w:b/>
          <w:bCs/>
          <w:color w:val="555555"/>
          <w:sz w:val="24"/>
          <w:szCs w:val="24"/>
        </w:rPr>
        <w:t xml:space="preserve">Session Outline — 60 Minutes</w:t>
      </w:r>
    </w:p>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0:00–0:03</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Opening Silence</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Three minutes. Invite participants to notice what they carried in from the day.</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0:03–0:08</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Brief Review</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What stayed with you from Session 1? One word or phrase around the room.</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0:08–0:25</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Presentation: Hospitality &amp; Three Movements</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The hospitality framework. Then walk through the three movements of Reaching Out. Use personal examples where possible.</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0:25–0:35</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Reflective Exercise</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Individual writing: Choose one of the three movements. Where are you currently on that movement? Be honest. (5 min writing, not shared unless chosen.)</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0:35–0:50</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Small Group: Mutual Healing</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Discuss Discussion Questions 1 and 2. Then introduce the mutuality theme and discuss Question 3.</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0:50–0:57</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Large Group: Application to Institutions</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Bring it to context: how does your church or organization create or prevent healing space?</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0:57–1:00</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Closing</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Quote and silence.</w:t>
            </w:r>
          </w:p>
        </w:tc>
      </w:tr>
    </w:tbl>
    <w:p>
      <w:pPr>
        <w:spacing w:after="200" w:before="0"/>
      </w:pPr>
    </w:p>
    <w:p>
      <w:pPr>
        <w:pStyle w:val="Heading3"/>
      </w:pPr>
      <w:r>
        <w:rPr>
          <w:rFonts w:ascii="Arial" w:cs="Arial" w:eastAsia="Arial" w:hAnsi="Arial"/>
          <w:b/>
          <w:bCs/>
          <w:color w:val="555555"/>
          <w:sz w:val="24"/>
          <w:szCs w:val="24"/>
        </w:rPr>
        <w:t xml:space="preserve">Key Content Points</w:t>
      </w:r>
    </w:p>
    <w:p>
      <w:pPr>
        <w:spacing w:after="140" w:before="0"/>
        <w:jc w:val="both"/>
      </w:pPr>
      <w:r>
        <w:rPr>
          <w:rFonts w:ascii="Garamond" w:cs="Garamond" w:eastAsia="Garamond" w:hAnsi="Garamond"/>
          <w:color w:val="222222"/>
          <w:sz w:val="23"/>
          <w:szCs w:val="23"/>
        </w:rPr>
        <w:t xml:space="preserve">Point 1: Hospitality as the primary ministry posture. Nouwen’s reframing of hospitality from a social nicety to a theological practice is the conceptual center of Session 2. The minister who has mastered hospitality has learned to ask not ‘What will I give?’ but ‘What kind of space am I creating?’ This is a complete paradigm shift for most ministry practitioners, who have been trained to deliver content, care, and solutions.</w:t>
      </w:r>
    </w:p>
    <w:p>
      <w:pPr>
        <w:spacing w:after="140" w:before="0"/>
        <w:jc w:val="both"/>
      </w:pPr>
      <w:r>
        <w:rPr>
          <w:rFonts w:ascii="Garamond" w:cs="Garamond" w:eastAsia="Garamond" w:hAnsi="Garamond"/>
          <w:color w:val="222222"/>
          <w:sz w:val="23"/>
          <w:szCs w:val="23"/>
        </w:rPr>
        <w:t xml:space="preserve">Point 2: The three movements in detail. Walk through each movement with concrete examples from ministry life: the lonely pastor who frantically fills the calendar (loneliness not yet transformed to solitude); the minister who controls every meeting because they fear the congregation’s different perspectives (hostility not yet transformed to hospitality); the preacher who proclaims certainties they no longer privately believe (illusion not yet transformed to prayer).</w:t>
      </w:r>
    </w:p>
    <w:p>
      <w:pPr>
        <w:spacing w:after="140" w:before="0"/>
        <w:jc w:val="both"/>
      </w:pPr>
      <w:r>
        <w:rPr>
          <w:rFonts w:ascii="Garamond" w:cs="Garamond" w:eastAsia="Garamond" w:hAnsi="Garamond"/>
          <w:color w:val="222222"/>
          <w:sz w:val="23"/>
          <w:szCs w:val="23"/>
        </w:rPr>
        <w:t xml:space="preserve">Point 3: The mutuality of healing — with appropriate boundaries. This is often the most controversial point for professional ministers. Many have been trained in strict professional separation between helper and helped. Nouwen is not calling for the collapse of that boundary; he is calling for the minister to bring their full humanity to ministry rather than hiding behind professional role. The key test: is my sharing in service of the other, or in service of my own need?</w:t>
      </w:r>
    </w:p>
    <w:p>
      <w:pPr>
        <w:pBdr>
          <w:left w:val="single" w:color="B5722A" w:sz="16" w:space="6"/>
        </w:pBdr>
        <w:spacing w:after="80" w:before="120"/>
        <w:ind w:left="360"/>
      </w:pPr>
      <w:r>
        <w:rPr>
          <w:rFonts w:ascii="Arial" w:cs="Arial" w:eastAsia="Arial" w:hAnsi="Arial"/>
          <w:b/>
          <w:bCs/>
          <w:color w:val="6B4226"/>
          <w:sz w:val="21"/>
          <w:szCs w:val="21"/>
        </w:rPr>
        <w:t xml:space="preserve">📌 TEACHING NOTE: On mutuality: some participants may have experienced inappropriate over-disclosure by a pastor and react negatively. Acknowledge the difference explicitly. Nouwen’s model requires pastoral wisdom and appropriate boundaries.</w:t>
      </w:r>
    </w:p>
    <w:p>
      <w:pPr>
        <w:pBdr>
          <w:left w:val="single" w:color="8B1A1A" w:sz="14" w:space="6"/>
        </w:pBdr>
        <w:spacing w:after="60" w:before="140"/>
        <w:ind w:left="720" w:right="360"/>
      </w:pPr>
      <w:r>
        <w:rPr>
          <w:rFonts w:ascii="Georgia" w:cs="Georgia" w:eastAsia="Georgia" w:hAnsi="Georgia"/>
          <w:i/>
          <w:iCs/>
          <w:color w:val="444444"/>
          <w:sz w:val="22"/>
          <w:szCs w:val="22"/>
        </w:rPr>
        <w:t xml:space="preserve">“Hospitality means primarily the creation of a free space where the stranger can enter and become a friend instead of an enemy.”</w:t>
      </w:r>
    </w:p>
    <w:p>
      <w:pPr>
        <w:spacing w:after="180" w:before="0"/>
        <w:ind w:left="720"/>
      </w:pPr>
      <w:r>
        <w:rPr>
          <w:i/>
          <w:iCs/>
          <w:color w:val="888888"/>
          <w:sz w:val="18"/>
          <w:szCs w:val="18"/>
        </w:rPr>
        <w:t xml:space="preserve">— Reaching Out</w:t>
      </w:r>
    </w:p>
    <w:p>
      <w:pPr>
        <w:pBdr>
          <w:left w:val="single" w:color="8B1A1A" w:sz="14" w:space="6"/>
        </w:pBdr>
        <w:spacing w:after="60" w:before="140"/>
        <w:ind w:left="720" w:right="360"/>
      </w:pPr>
      <w:r>
        <w:rPr>
          <w:rFonts w:ascii="Georgia" w:cs="Georgia" w:eastAsia="Georgia" w:hAnsi="Georgia"/>
          <w:i/>
          <w:iCs/>
          <w:color w:val="444444"/>
          <w:sz w:val="22"/>
          <w:szCs w:val="22"/>
        </w:rPr>
        <w:t xml:space="preserve">“When we honestly ask ourselves which person in our lives means the most to us, we often find that it is those who, instead of giving advice, solutions, or cures, have chosen rather to share our pain.”</w:t>
      </w:r>
    </w:p>
    <w:p>
      <w:pPr>
        <w:spacing w:after="180" w:before="0"/>
        <w:ind w:left="720"/>
      </w:pPr>
      <w:r>
        <w:rPr>
          <w:i/>
          <w:iCs/>
          <w:color w:val="888888"/>
          <w:sz w:val="18"/>
          <w:szCs w:val="18"/>
        </w:rPr>
        <w:t xml:space="preserve">— Out of Solitude</w:t>
      </w:r>
    </w:p>
    <w:p>
      <w:pPr>
        <w:pStyle w:val="Heading3"/>
      </w:pPr>
      <w:r>
        <w:rPr>
          <w:rFonts w:ascii="Arial" w:cs="Arial" w:eastAsia="Arial" w:hAnsi="Arial"/>
          <w:b/>
          <w:bCs/>
          <w:color w:val="555555"/>
          <w:sz w:val="24"/>
          <w:szCs w:val="24"/>
        </w:rPr>
        <w:t xml:space="preserve">Discussion Questions</w:t>
      </w:r>
    </w:p>
    <w:p>
      <w:pPr>
        <w:spacing w:after="80" w:before="80"/>
        <w:ind w:left="360"/>
      </w:pPr>
      <w:r>
        <w:rPr>
          <w:rFonts w:ascii="Arial" w:cs="Arial" w:eastAsia="Arial" w:hAnsi="Arial"/>
          <w:color w:val="1C2B3A"/>
          <w:sz w:val="22"/>
          <w:szCs w:val="22"/>
        </w:rPr>
        <w:t xml:space="preserve">1.  Think of a time when you felt truly received by another person — when they created genuine ‘healing space’ for you. What did they do? What did they not do?</w:t>
      </w:r>
    </w:p>
    <w:p>
      <w:pPr>
        <w:spacing w:after="80" w:before="80"/>
        <w:ind w:left="360"/>
      </w:pPr>
      <w:r>
        <w:rPr>
          <w:rFonts w:ascii="Arial" w:cs="Arial" w:eastAsia="Arial" w:hAnsi="Arial"/>
          <w:color w:val="1C2B3A"/>
          <w:sz w:val="22"/>
          <w:szCs w:val="22"/>
        </w:rPr>
        <w:t xml:space="preserve">2.  Which of the three movements (loneliness→solitude, hostility→hospitality, illusion→prayer) is most alive — or most stuck — in your ministry right now?</w:t>
      </w:r>
    </w:p>
    <w:p>
      <w:pPr>
        <w:spacing w:after="160" w:before="80"/>
        <w:ind w:left="360"/>
      </w:pPr>
      <w:r>
        <w:rPr>
          <w:rFonts w:ascii="Arial" w:cs="Arial" w:eastAsia="Arial" w:hAnsi="Arial"/>
          <w:color w:val="1C2B3A"/>
          <w:sz w:val="22"/>
          <w:szCs w:val="22"/>
        </w:rPr>
        <w:t xml:space="preserve">3.  When have you witnessed or experienced the mutuality of healing in ministry — where the minister was also changed by the encounter? What did that look like?</w:t>
      </w:r>
    </w:p>
    <w:p>
      <w:pPr>
        <w:pBdr>
          <w:left w:val="single" w:color="1A5276" w:sz="16" w:space="6"/>
        </w:pBdr>
        <w:spacing w:after="80" w:before="120"/>
        <w:ind w:left="360"/>
      </w:pPr>
      <w:r>
        <w:rPr>
          <w:rFonts w:ascii="Arial" w:cs="Arial" w:eastAsia="Arial" w:hAnsi="Arial"/>
          <w:b/>
          <w:bCs/>
          <w:color w:val="1A5276"/>
          <w:sz w:val="21"/>
          <w:szCs w:val="21"/>
        </w:rPr>
        <w:t xml:space="preserve">💬 DISCUSSION: For institutional leaders: How does your organization’s physical space, meeting culture, or service delivery model either create or prevent the kind of free space Nouwen describes?</w:t>
      </w:r>
    </w:p>
    <w:p>
      <w:pPr>
        <w:pStyle w:val="Heading3"/>
      </w:pPr>
      <w:r>
        <w:rPr>
          <w:rFonts w:ascii="Arial" w:cs="Arial" w:eastAsia="Arial" w:hAnsi="Arial"/>
          <w:b/>
          <w:bCs/>
          <w:color w:val="555555"/>
          <w:sz w:val="24"/>
          <w:szCs w:val="24"/>
        </w:rPr>
        <w:t xml:space="preserve">Journal Prompt (Between Sessions)</w:t>
      </w:r>
    </w:p>
    <w:p>
      <w:pPr>
        <w:spacing w:after="140" w:before="0"/>
        <w:jc w:val="both"/>
      </w:pPr>
      <w:r>
        <w:rPr>
          <w:rFonts w:ascii="Garamond" w:cs="Garamond" w:eastAsia="Garamond" w:hAnsi="Garamond"/>
          <w:color w:val="222222"/>
          <w:sz w:val="23"/>
          <w:szCs w:val="23"/>
        </w:rPr>
        <w:t xml:space="preserve">Consider one specific relationship or ministry context in your life. Ask honestly: Am I creating a free and hospitable space for this person, or am I subtly trying to manage, fix, or change them? What would it mean to let them be?</w:t>
      </w:r>
    </w:p>
    <w:p>
      <w:pPr>
        <w:spacing w:after="200" w:before="0"/>
      </w:pPr>
    </w:p>
    <w:p>
      <w:pPr>
        <w:pBdr>
          <w:bottom w:val="single" w:color="1E4D20" w:sz="6" w:space="1"/>
        </w:pBdr>
        <w:spacing w:after="240" w:before="0"/>
      </w:pPr>
    </w:p>
    <w:p>
      <w:pPr>
        <w:spacing w:after="80" w:before="400"/>
      </w:pPr>
      <w:r>
        <w:rPr>
          <w:color w:val="1A3060"/>
          <w:spacing w:val="200"/>
          <w:sz w:val="20"/>
          <w:szCs w:val="20"/>
        </w:rPr>
        <w:t xml:space="preserve">SEMINAR THREE</w:t>
      </w:r>
    </w:p>
    <w:p>
      <w:pPr>
        <w:spacing w:after="280" w:before="0"/>
      </w:pPr>
      <w:r>
        <w:rPr>
          <w:rFonts w:ascii="Georgia" w:cs="Georgia" w:eastAsia="Georgia" w:hAnsi="Georgia"/>
          <w:b/>
          <w:bCs/>
          <w:color w:val="1A3060"/>
          <w:sz w:val="44"/>
          <w:szCs w:val="44"/>
        </w:rPr>
        <w:t xml:space="preserve">The Healer:
Interior Formation and the Spirituality of Ministry</w:t>
      </w:r>
    </w:p>
    <w:p>
      <w:pPr>
        <w:pStyle w:val="Heading3"/>
      </w:pPr>
      <w:r>
        <w:rPr>
          <w:rFonts w:ascii="Arial" w:cs="Arial" w:eastAsia="Arial" w:hAnsi="Arial"/>
          <w:b/>
          <w:bCs/>
          <w:color w:val="555555"/>
          <w:sz w:val="24"/>
          <w:szCs w:val="24"/>
        </w:rPr>
        <w:t xml:space="preserve">Learning Objectives</w:t>
      </w:r>
    </w:p>
    <w:p>
      <w:pPr>
        <w:pStyle w:val="ListParagraph"/>
        <w:numPr>
          <w:ilvl w:val="0"/>
          <w:numId w:val="2"/>
        </w:numPr>
        <w:spacing w:after="60" w:before="60"/>
      </w:pPr>
      <w:r>
        <w:rPr>
          <w:rFonts w:ascii="Arial" w:cs="Arial" w:eastAsia="Arial" w:hAnsi="Arial"/>
          <w:color w:val="333333"/>
          <w:sz w:val="22"/>
          <w:szCs w:val="22"/>
        </w:rPr>
        <w:t xml:space="preserve">Participants will understand the three desert disciplines (solitude, silence, prayer) as essential to sustainable ministry.</w:t>
      </w:r>
    </w:p>
    <w:p>
      <w:pPr>
        <w:pStyle w:val="ListParagraph"/>
        <w:numPr>
          <w:ilvl w:val="0"/>
          <w:numId w:val="2"/>
        </w:numPr>
        <w:spacing w:after="60" w:before="60"/>
      </w:pPr>
      <w:r>
        <w:rPr>
          <w:rFonts w:ascii="Arial" w:cs="Arial" w:eastAsia="Arial" w:hAnsi="Arial"/>
          <w:color w:val="333333"/>
          <w:sz w:val="22"/>
          <w:szCs w:val="22"/>
        </w:rPr>
        <w:t xml:space="preserve">Participants will engage with the L’Arche conversion narrative as a model of downward mobility in leadership.</w:t>
      </w:r>
    </w:p>
    <w:p>
      <w:pPr>
        <w:pStyle w:val="ListParagraph"/>
        <w:numPr>
          <w:ilvl w:val="0"/>
          <w:numId w:val="2"/>
        </w:numPr>
        <w:spacing w:after="60" w:before="60"/>
      </w:pPr>
      <w:r>
        <w:rPr>
          <w:rFonts w:ascii="Arial" w:cs="Arial" w:eastAsia="Arial" w:hAnsi="Arial"/>
          <w:color w:val="333333"/>
          <w:sz w:val="22"/>
          <w:szCs w:val="22"/>
        </w:rPr>
        <w:t xml:space="preserve">Participants will identify one concrete spiritual practice to implement in their own ministry rhythm.</w:t>
      </w:r>
    </w:p>
    <w:p>
      <w:pPr>
        <w:spacing w:after="200" w:before="0"/>
      </w:pPr>
    </w:p>
    <w:p>
      <w:pPr>
        <w:pStyle w:val="Heading3"/>
      </w:pPr>
      <w:r>
        <w:rPr>
          <w:rFonts w:ascii="Arial" w:cs="Arial" w:eastAsia="Arial" w:hAnsi="Arial"/>
          <w:b/>
          <w:bCs/>
          <w:color w:val="555555"/>
          <w:sz w:val="24"/>
          <w:szCs w:val="24"/>
        </w:rPr>
        <w:t xml:space="preserve">Session Outline — 60 Minutes</w:t>
      </w:r>
    </w:p>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0:00–0:05</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Opening Silence</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Five minutes this time. No introduction. Let the silence speak.</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0:05–0:10</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Integration Check</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What has shifted for you across these three sessions? Brief sharing.</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0:10–0:28</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Presentation: The Three Disciplines</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Present solitude, silence, prayer with desert tradition grounding. Include the specific pathologies each discipline addresses.</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0:28–0:38</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Presentation: In the Name of Jesus</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Tell the L’Arche story. The three temptations. The three counterweights. Nouwen’s personal breakdown and conversion.</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0:38–0:50</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Small Group: The Prodigal Son as Ministry Model</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Distribute the three roles (younger son, older son, father). Which role are you in right now in your ministry? Why?</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0:50–0:57</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Practical Commitment</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Each participant identifies one practice they will implement. Written, not performed.</w:t>
            </w:r>
          </w:p>
        </w:tc>
      </w:tr>
    </w:tbl>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520"/>
        <w:gridCol w:w="5400"/>
      </w:tblGrid>
      <w:tr>
        <w:tc>
          <w:tcPr>
            <w:tcW w:type="dxa" w:w="1440"/>
            <w:tcBorders>
              <w:top w:val="single" w:color="CCCCCC" w:sz="1"/>
              <w:left w:val="single" w:color="CCCCCC" w:sz="1"/>
              <w:bottom w:val="single" w:color="CCCCCC" w:sz="1"/>
              <w:right w:val="single" w:color="CCCCCC" w:sz="1"/>
            </w:tcBorders>
            <w:shd w:fill="EAF0F6" w:val="clear"/>
            <w:tcMar>
              <w:top w:type="dxa" w:w="80"/>
              <w:left w:type="dxa" w:w="120"/>
              <w:bottom w:type="dxa" w:w="80"/>
              <w:right w:type="dxa" w:w="120"/>
            </w:tcMar>
          </w:tcPr>
          <w:p>
            <w:pPr>
              <w:jc w:val="center"/>
            </w:pPr>
            <w:r>
              <w:rPr>
                <w:rFonts w:ascii="Arial" w:cs="Arial" w:eastAsia="Arial" w:hAnsi="Arial"/>
                <w:b/>
                <w:bCs/>
                <w:color w:val="1A3060"/>
                <w:sz w:val="20"/>
                <w:szCs w:val="20"/>
              </w:rPr>
              <w:t xml:space="preserve">0:57–1:00</w:t>
            </w:r>
          </w:p>
        </w:tc>
        <w:tc>
          <w:tcPr>
            <w:tcW w:type="dxa" w:w="2520"/>
            <w:tcBorders>
              <w:top w:val="single" w:color="CCCCCC" w:sz="1"/>
              <w:left w:val="single" w:color="CCCCCC" w:sz="1"/>
              <w:bottom w:val="single" w:color="CCCCCC" w:sz="1"/>
              <w:right w:val="single" w:color="CCCCCC" w:sz="1"/>
            </w:tcBorders>
            <w:shd w:fill="F4F6F7" w:val="clear"/>
            <w:tcMar>
              <w:top w:type="dxa" w:w="80"/>
              <w:left w:type="dxa" w:w="120"/>
              <w:bottom w:type="dxa" w:w="80"/>
              <w:right w:type="dxa" w:w="120"/>
            </w:tcMar>
          </w:tcPr>
          <w:p>
            <w:r>
              <w:rPr>
                <w:rFonts w:ascii="Arial" w:cs="Arial" w:eastAsia="Arial" w:hAnsi="Arial"/>
                <w:b/>
                <w:bCs/>
                <w:color w:val="1C2B3A"/>
                <w:sz w:val="20"/>
                <w:szCs w:val="20"/>
              </w:rPr>
              <w:t xml:space="preserve">Closing: The Commissioning of the Wounded Healer</w:t>
            </w:r>
          </w:p>
        </w:tc>
        <w:tc>
          <w:tcPr>
            <w:tcW w:type="dxa" w:w="5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555555"/>
                <w:sz w:val="20"/>
                <w:szCs w:val="20"/>
              </w:rPr>
              <w:t xml:space="preserve">Closing prayer or blessing that holds the full arc of the three sessions.</w:t>
            </w:r>
          </w:p>
        </w:tc>
      </w:tr>
    </w:tbl>
    <w:p>
      <w:pPr>
        <w:spacing w:after="200" w:before="0"/>
      </w:pPr>
    </w:p>
    <w:p>
      <w:pPr>
        <w:pStyle w:val="Heading3"/>
      </w:pPr>
      <w:r>
        <w:rPr>
          <w:rFonts w:ascii="Arial" w:cs="Arial" w:eastAsia="Arial" w:hAnsi="Arial"/>
          <w:b/>
          <w:bCs/>
          <w:color w:val="555555"/>
          <w:sz w:val="24"/>
          <w:szCs w:val="24"/>
        </w:rPr>
        <w:t xml:space="preserve">Key Content Points</w:t>
      </w:r>
    </w:p>
    <w:p>
      <w:pPr>
        <w:spacing w:after="140" w:before="0"/>
        <w:jc w:val="both"/>
      </w:pPr>
      <w:r>
        <w:rPr>
          <w:rFonts w:ascii="Garamond" w:cs="Garamond" w:eastAsia="Garamond" w:hAnsi="Garamond"/>
          <w:color w:val="222222"/>
          <w:sz w:val="23"/>
          <w:szCs w:val="23"/>
        </w:rPr>
        <w:t xml:space="preserve">Point 1: The three disciplines and the pathologies they address. Modern ministry is characterized by three dominant pathologies: busyness (which solitude addresses), wordiness (which silence addresses), and relevance-seeking (which prayer addresses). Each discipline is not a retreat from ministry but its intensification.</w:t>
      </w:r>
    </w:p>
    <w:p>
      <w:pPr>
        <w:spacing w:after="140" w:before="0"/>
        <w:jc w:val="both"/>
      </w:pPr>
      <w:r>
        <w:rPr>
          <w:rFonts w:ascii="Garamond" w:cs="Garamond" w:eastAsia="Garamond" w:hAnsi="Garamond"/>
          <w:color w:val="222222"/>
          <w:sz w:val="23"/>
          <w:szCs w:val="23"/>
        </w:rPr>
        <w:t xml:space="preserve">Point 2: The L’Arche conversion. The power of Nouwen’s move to L’Arche is not that he became more humble (though he did) but that he was stripped of the identity-markers he had used to sustain his ministry. Without his reputation, his eloquence, his academic credentials, he had to discover who he was before God alone. This is the experience every minister eventually faces — the question is whether they will face it voluntarily or be forced into it by crisis.</w:t>
      </w:r>
    </w:p>
    <w:p>
      <w:pPr>
        <w:spacing w:after="140" w:before="0"/>
        <w:jc w:val="both"/>
      </w:pPr>
      <w:r>
        <w:rPr>
          <w:rFonts w:ascii="Garamond" w:cs="Garamond" w:eastAsia="Garamond" w:hAnsi="Garamond"/>
          <w:color w:val="222222"/>
          <w:sz w:val="23"/>
          <w:szCs w:val="23"/>
        </w:rPr>
        <w:t xml:space="preserve">Point 3: The Return of the Prodigal Son and the three ministerial identities. Nouwen’s identification of the three characters as three possible ministerial postures is one of his most pastorally powerful insights. The younger son’s ministry is characterized by idealism, restlessness, and eventual disillusionment. The older son’s ministry is characterized by dutiful service, hidden resentment, and joylessness. The father’s ministry is characterized by unconditional receiving, generous love, and the capacity to celebrate. The movement from son to father is the work of a lifetime.</w:t>
      </w:r>
    </w:p>
    <w:p>
      <w:pPr>
        <w:pBdr>
          <w:left w:val="single" w:color="B5722A" w:sz="16" w:space="6"/>
        </w:pBdr>
        <w:spacing w:after="80" w:before="120"/>
        <w:ind w:left="360"/>
      </w:pPr>
      <w:r>
        <w:rPr>
          <w:rFonts w:ascii="Arial" w:cs="Arial" w:eastAsia="Arial" w:hAnsi="Arial"/>
          <w:b/>
          <w:bCs/>
          <w:color w:val="6B4226"/>
          <w:sz w:val="21"/>
          <w:szCs w:val="21"/>
        </w:rPr>
        <w:t xml:space="preserve">📌 TEACHING NOTE: The Prodigal Son exercise is the most personally challenging part of the seminar. Give clear permission to be honest. Remind participants that most ministers have been in all three places at different seasons.</w:t>
      </w:r>
    </w:p>
    <w:p>
      <w:pPr>
        <w:pBdr>
          <w:left w:val="single" w:color="8B1A1A" w:sz="14" w:space="6"/>
        </w:pBdr>
        <w:spacing w:after="60" w:before="140"/>
        <w:ind w:left="720" w:right="360"/>
      </w:pPr>
      <w:r>
        <w:rPr>
          <w:rFonts w:ascii="Georgia" w:cs="Georgia" w:eastAsia="Georgia" w:hAnsi="Georgia"/>
          <w:i/>
          <w:iCs/>
          <w:color w:val="444444"/>
          <w:sz w:val="22"/>
          <w:szCs w:val="22"/>
        </w:rPr>
        <w:t xml:space="preserve">“The way of the Christian leader is not the way of upward mobility in which our world has invested so much, but the way of downward mobility ending on the cross.”</w:t>
      </w:r>
    </w:p>
    <w:p>
      <w:pPr>
        <w:spacing w:after="180" w:before="0"/>
        <w:ind w:left="720"/>
      </w:pPr>
      <w:r>
        <w:rPr>
          <w:i/>
          <w:iCs/>
          <w:color w:val="888888"/>
          <w:sz w:val="18"/>
          <w:szCs w:val="18"/>
        </w:rPr>
        <w:t xml:space="preserve">— In the Name of Jesus</w:t>
      </w:r>
    </w:p>
    <w:p>
      <w:pPr>
        <w:pBdr>
          <w:left w:val="single" w:color="8B1A1A" w:sz="14" w:space="6"/>
        </w:pBdr>
        <w:spacing w:after="60" w:before="140"/>
        <w:ind w:left="720" w:right="360"/>
      </w:pPr>
      <w:r>
        <w:rPr>
          <w:rFonts w:ascii="Georgia" w:cs="Georgia" w:eastAsia="Georgia" w:hAnsi="Georgia"/>
          <w:i/>
          <w:iCs/>
          <w:color w:val="444444"/>
          <w:sz w:val="22"/>
          <w:szCs w:val="22"/>
        </w:rPr>
        <w:t xml:space="preserve">“Without solitude it is virtually impossible to live a spiritual life. Solitude begins with a time and place for God, and him alone.”</w:t>
      </w:r>
    </w:p>
    <w:p>
      <w:pPr>
        <w:spacing w:after="180" w:before="0"/>
        <w:ind w:left="720"/>
      </w:pPr>
      <w:r>
        <w:rPr>
          <w:i/>
          <w:iCs/>
          <w:color w:val="888888"/>
          <w:sz w:val="18"/>
          <w:szCs w:val="18"/>
        </w:rPr>
        <w:t xml:space="preserve">— The Way of the Heart</w:t>
      </w:r>
    </w:p>
    <w:p>
      <w:pPr>
        <w:pStyle w:val="Heading3"/>
      </w:pPr>
      <w:r>
        <w:rPr>
          <w:rFonts w:ascii="Arial" w:cs="Arial" w:eastAsia="Arial" w:hAnsi="Arial"/>
          <w:b/>
          <w:bCs/>
          <w:color w:val="555555"/>
          <w:sz w:val="24"/>
          <w:szCs w:val="24"/>
        </w:rPr>
        <w:t xml:space="preserve">Discussion Questions</w:t>
      </w:r>
    </w:p>
    <w:p>
      <w:pPr>
        <w:spacing w:after="80" w:before="80"/>
        <w:ind w:left="360"/>
      </w:pPr>
      <w:r>
        <w:rPr>
          <w:rFonts w:ascii="Arial" w:cs="Arial" w:eastAsia="Arial" w:hAnsi="Arial"/>
          <w:color w:val="1C2B3A"/>
          <w:sz w:val="22"/>
          <w:szCs w:val="22"/>
        </w:rPr>
        <w:t xml:space="preserve">1.  Which of the three disciplines (solitude, silence, prayer) is most absent from your current ministry life? What is preventing it?</w:t>
      </w:r>
    </w:p>
    <w:p>
      <w:pPr>
        <w:spacing w:after="80" w:before="80"/>
        <w:ind w:left="360"/>
      </w:pPr>
      <w:r>
        <w:rPr>
          <w:rFonts w:ascii="Arial" w:cs="Arial" w:eastAsia="Arial" w:hAnsi="Arial"/>
          <w:color w:val="1C2B3A"/>
          <w:sz w:val="22"/>
          <w:szCs w:val="22"/>
        </w:rPr>
        <w:t xml:space="preserve">2.  Nouwen says the temptation to be relevant is one of the greatest dangers facing ministry leaders. Where do you feel this pull most strongly? What does it cost you?</w:t>
      </w:r>
    </w:p>
    <w:p>
      <w:pPr>
        <w:spacing w:after="160" w:before="80"/>
        <w:ind w:left="360"/>
      </w:pPr>
      <w:r>
        <w:rPr>
          <w:rFonts w:ascii="Arial" w:cs="Arial" w:eastAsia="Arial" w:hAnsi="Arial"/>
          <w:color w:val="1C2B3A"/>
          <w:sz w:val="22"/>
          <w:szCs w:val="22"/>
        </w:rPr>
        <w:t xml:space="preserve">3.  In the Prodigal Son parable, which character do you most identify with in your current season of ministry? What would it mean to move toward the posture of the father?</w:t>
      </w:r>
    </w:p>
    <w:p>
      <w:pPr>
        <w:pBdr>
          <w:left w:val="single" w:color="1A5276" w:sz="16" w:space="6"/>
        </w:pBdr>
        <w:spacing w:after="80" w:before="120"/>
        <w:ind w:left="360"/>
      </w:pPr>
      <w:r>
        <w:rPr>
          <w:rFonts w:ascii="Arial" w:cs="Arial" w:eastAsia="Arial" w:hAnsi="Arial"/>
          <w:b/>
          <w:bCs/>
          <w:color w:val="1A5276"/>
          <w:sz w:val="21"/>
          <w:szCs w:val="21"/>
        </w:rPr>
        <w:t xml:space="preserve">💬 DISCUSSION: For institutional leaders: What would it look like for your organization to practice ‘downward mobility’ — to pursue depth of service rather than breadth of impact? What would you have to give up?</w:t>
      </w:r>
    </w:p>
    <w:p>
      <w:pPr>
        <w:pStyle w:val="Heading3"/>
      </w:pPr>
      <w:r>
        <w:rPr>
          <w:rFonts w:ascii="Arial" w:cs="Arial" w:eastAsia="Arial" w:hAnsi="Arial"/>
          <w:b/>
          <w:bCs/>
          <w:color w:val="555555"/>
          <w:sz w:val="24"/>
          <w:szCs w:val="24"/>
        </w:rPr>
        <w:t xml:space="preserve">Practical Commitment Exercise</w:t>
      </w:r>
    </w:p>
    <w:p>
      <w:pPr>
        <w:spacing w:after="140" w:before="0"/>
        <w:jc w:val="both"/>
      </w:pPr>
      <w:r>
        <w:rPr>
          <w:rFonts w:ascii="Garamond" w:cs="Garamond" w:eastAsia="Garamond" w:hAnsi="Garamond"/>
          <w:color w:val="222222"/>
          <w:sz w:val="23"/>
          <w:szCs w:val="23"/>
        </w:rPr>
        <w:t xml:space="preserve">Ask participants to complete this statement in writing (not shared unless they choose):</w:t>
      </w:r>
    </w:p>
    <w:p>
      <w:pPr>
        <w:pBdr>
          <w:left w:val="single" w:color="1A3060" w:sz="14" w:space="6"/>
        </w:pBdr>
        <w:spacing w:after="120" w:before="120"/>
        <w:ind w:left="360" w:right="360"/>
      </w:pPr>
      <w:r>
        <w:rPr>
          <w:rFonts w:ascii="Georgia" w:cs="Georgia" w:eastAsia="Georgia" w:hAnsi="Georgia"/>
          <w:i/>
          <w:iCs/>
          <w:color w:val="333333"/>
          <w:sz w:val="22"/>
          <w:szCs w:val="22"/>
        </w:rPr>
        <w:t xml:space="preserve">"Because of what I have encountered in these seminars, I will commit to [ONE specific practice] for the next [time period]. I will know it is working when [indicator].</w:t>
      </w:r>
    </w:p>
    <w:p>
      <w:pPr>
        <w:spacing w:after="140" w:before="0"/>
        <w:jc w:val="both"/>
      </w:pPr>
      <w:r>
        <w:rPr>
          <w:rFonts w:ascii="Garamond" w:cs="Garamond" w:eastAsia="Garamond" w:hAnsi="Garamond"/>
          <w:color w:val="222222"/>
          <w:sz w:val="23"/>
          <w:szCs w:val="23"/>
        </w:rPr>
        <w:t xml:space="preserve">Examples: committing to 20 minutes of silent prayer each morning; beginning to journal weekly on where their wounds showed up in ministry; starting a regular spiritual direction relationship; reading one Nouwen book in the next month.</w:t>
      </w:r>
    </w:p>
    <w:p>
      <w:pPr>
        <w:spacing w:after="200" w:before="0"/>
      </w:pPr>
    </w:p>
    <w:p>
      <w:pPr>
        <w:pBdr>
          <w:bottom w:val="single" w:color="1A3060" w:sz="6" w:space="1"/>
        </w:pBdr>
        <w:spacing w:after="240" w:before="0"/>
      </w:pPr>
    </w:p>
    <w:p>
      <w:pPr>
        <w:pStyle w:val="Heading2"/>
      </w:pPr>
      <w:r>
        <w:rPr>
          <w:rFonts w:ascii="Arial" w:cs="Arial" w:eastAsia="Arial" w:hAnsi="Arial"/>
          <w:b/>
          <w:bCs/>
          <w:color w:val="1C2B3A"/>
          <w:sz w:val="28"/>
          <w:szCs w:val="28"/>
        </w:rPr>
        <w:t xml:space="preserve">Recommended Resources for Continued Formation</w:t>
      </w:r>
    </w:p>
    <w:p>
      <w:pPr>
        <w:pStyle w:val="ListParagraph"/>
        <w:numPr>
          <w:ilvl w:val="0"/>
          <w:numId w:val="2"/>
        </w:numPr>
        <w:spacing w:after="60" w:before="60"/>
      </w:pPr>
      <w:r>
        <w:rPr>
          <w:rFonts w:ascii="Arial" w:cs="Arial" w:eastAsia="Arial" w:hAnsi="Arial"/>
          <w:color w:val="333333"/>
          <w:sz w:val="22"/>
          <w:szCs w:val="22"/>
        </w:rPr>
        <w:t xml:space="preserve">The Wounded Healer (1972) — Start here if participants have not read it.</w:t>
      </w:r>
    </w:p>
    <w:p>
      <w:pPr>
        <w:pStyle w:val="ListParagraph"/>
        <w:numPr>
          <w:ilvl w:val="0"/>
          <w:numId w:val="2"/>
        </w:numPr>
        <w:spacing w:after="60" w:before="60"/>
      </w:pPr>
      <w:r>
        <w:rPr>
          <w:rFonts w:ascii="Arial" w:cs="Arial" w:eastAsia="Arial" w:hAnsi="Arial"/>
          <w:color w:val="333333"/>
          <w:sz w:val="22"/>
          <w:szCs w:val="22"/>
        </w:rPr>
        <w:t xml:space="preserve">Reaching Out (1975) — The most complete statement of Nouwen’s pastoral theology.</w:t>
      </w:r>
    </w:p>
    <w:p>
      <w:pPr>
        <w:pStyle w:val="ListParagraph"/>
        <w:numPr>
          <w:ilvl w:val="0"/>
          <w:numId w:val="2"/>
        </w:numPr>
        <w:spacing w:after="60" w:before="60"/>
      </w:pPr>
      <w:r>
        <w:rPr>
          <w:rFonts w:ascii="Arial" w:cs="Arial" w:eastAsia="Arial" w:hAnsi="Arial"/>
          <w:color w:val="333333"/>
          <w:sz w:val="22"/>
          <w:szCs w:val="22"/>
        </w:rPr>
        <w:t xml:space="preserve">In the Name of Jesus (1989) — Brief and powerful; ideal for a leadership team retreat.</w:t>
      </w:r>
    </w:p>
    <w:p>
      <w:pPr>
        <w:pStyle w:val="ListParagraph"/>
        <w:numPr>
          <w:ilvl w:val="0"/>
          <w:numId w:val="2"/>
        </w:numPr>
        <w:spacing w:after="60" w:before="60"/>
      </w:pPr>
      <w:r>
        <w:rPr>
          <w:rFonts w:ascii="Arial" w:cs="Arial" w:eastAsia="Arial" w:hAnsi="Arial"/>
          <w:color w:val="333333"/>
          <w:sz w:val="22"/>
          <w:szCs w:val="22"/>
        </w:rPr>
        <w:t xml:space="preserve">The Return of the Prodigal Son (1992) — Recommended for personal reflection and preaching.</w:t>
      </w:r>
    </w:p>
    <w:p>
      <w:pPr>
        <w:pStyle w:val="ListParagraph"/>
        <w:numPr>
          <w:ilvl w:val="0"/>
          <w:numId w:val="2"/>
        </w:numPr>
        <w:spacing w:after="60" w:before="60"/>
      </w:pPr>
      <w:r>
        <w:rPr>
          <w:rFonts w:ascii="Arial" w:cs="Arial" w:eastAsia="Arial" w:hAnsi="Arial"/>
          <w:color w:val="333333"/>
          <w:sz w:val="22"/>
          <w:szCs w:val="22"/>
        </w:rPr>
        <w:t xml:space="preserve">The Inner Voice of Love (1996) — For ministers in crisis or seasons of dryness.</w:t>
      </w:r>
    </w:p>
    <w:p>
      <w:pPr>
        <w:pStyle w:val="ListParagraph"/>
        <w:numPr>
          <w:ilvl w:val="0"/>
          <w:numId w:val="2"/>
        </w:numPr>
        <w:spacing w:after="60" w:before="60"/>
      </w:pPr>
      <w:r>
        <w:rPr>
          <w:rFonts w:ascii="Arial" w:cs="Arial" w:eastAsia="Arial" w:hAnsi="Arial"/>
          <w:color w:val="333333"/>
          <w:sz w:val="22"/>
          <w:szCs w:val="22"/>
        </w:rPr>
        <w:t xml:space="preserve">Spiritual Direction: Wisdom for the Long Walk of Faith (2006, posthumous) — Practical guidance on the discipline.</w:t>
      </w:r>
    </w:p>
    <w:p>
      <w:pPr>
        <w:spacing w:after="200" w:before="0"/>
      </w:pP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3"/>
        <w:szCs w:val="23"/>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Georgia" w:cs="Georgia" w:eastAsia="Georgia" w:hAnsi="Georgia"/>
      <w:b/>
      <w:bCs/>
      <w:color w:val="1C2B3A"/>
      <w:sz w:val="36"/>
      <w:szCs w:val="36"/>
    </w:rPr>
  </w:style>
  <w:style w:type="paragraph" w:styleId="Heading2">
    <w:name w:val="Heading 2"/>
    <w:basedOn w:val="Normal"/>
    <w:next w:val="Normal"/>
    <w:qFormat/>
    <w:pPr>
      <w:spacing w:after="140" w:before="280"/>
      <w:outlineLvl w:val="1"/>
    </w:pPr>
    <w:rPr>
      <w:rFonts w:ascii="Arial" w:cs="Arial" w:eastAsia="Arial" w:hAnsi="Arial"/>
      <w:b/>
      <w:bCs/>
      <w:color w:val="1C2B3A"/>
      <w:sz w:val="28"/>
      <w:szCs w:val="28"/>
    </w:rPr>
  </w:style>
  <w:style w:type="paragraph" w:styleId="Heading3">
    <w:name w:val="Heading 3"/>
    <w:basedOn w:val="Normal"/>
    <w:next w:val="Normal"/>
    <w:qFormat/>
    <w:pPr>
      <w:spacing w:after="100" w:before="200"/>
      <w:outlineLvl w:val="2"/>
    </w:pPr>
    <w:rPr>
      <w:rFonts w:ascii="Arial" w:cs="Arial" w:eastAsia="Arial" w:hAnsi="Arial"/>
      <w:b/>
      <w:bCs/>
      <w:color w:val="555555"/>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2026-05-30T01:57:37.895Z</dcterms:created>
  <dcterms:modified xsi:type="dcterms:W3CDTF">2026-05-30T01:57:37.896Z</dcterms:modified>
</cp:coreProperties>
</file>

<file path=docProps/custom.xml><?xml version="1.0" encoding="utf-8"?>
<Properties xmlns="http://schemas.openxmlformats.org/officeDocument/2006/custom-properties" xmlns:vt="http://schemas.openxmlformats.org/officeDocument/2006/docPropsVTypes"/>
</file>